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 October 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PNT2022TMID23204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 Time River Water Quality Monitoring And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Maximum marks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 marks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Step1 : creating IBM cloud and Using its service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2602230" cy="146304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2230" cy="1463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Step 2:Configure the IBM cloud service and creating IOT platform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2602230" cy="146304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2230" cy="1463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Step-3: IBM Watson IOT platform acts as the mediator to connect the web application to IOT devices,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hence launching IBM Watson IOT platform.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2602230" cy="146304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2230" cy="1463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Step-4: IBM Watson IOT platform is created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2602230" cy="146304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2230" cy="1463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Step-5: In order to connect the IOT device to the IBM cloud ,create device in the IBM Watson IOT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Platform and get the device credentials.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2602230" cy="146304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2230" cy="1463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Step-6: Connect the device and start simulating.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2602230" cy="146304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2230" cy="1463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SIMULATION: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The simulation shows the Temperature, pH and Turbidity value.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2602230" cy="146304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2230" cy="1463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2602230" cy="146304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2230" cy="1463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02230" cy="146304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2230" cy="1463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