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80" w:lineRule="auto"/>
        <w:ind w:left="120" w:right="1950" w:firstLine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Sprint Delivery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26.0" w:type="dxa"/>
        <w:jc w:val="left"/>
        <w:tblInd w:w="134.0" w:type="dxa"/>
        <w:tblLayout w:type="fixed"/>
        <w:tblLook w:val="0400"/>
      </w:tblPr>
      <w:tblGrid>
        <w:gridCol w:w="4600"/>
        <w:gridCol w:w="4226"/>
        <w:tblGridChange w:id="0">
          <w:tblGrid>
            <w:gridCol w:w="4600"/>
            <w:gridCol w:w="422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PNT2022TMID50829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Real time river water quality monitoring and Control system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1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37"/>
          <w:szCs w:val="3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06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 </w:t>
      </w:r>
      <w:r w:rsidDel="00000000" w:rsidR="00000000" w:rsidRPr="00000000">
        <w:rPr>
          <w:rtl w:val="0"/>
        </w:rPr>
      </w:r>
    </w:p>
    <w:tbl>
      <w:tblPr>
        <w:tblStyle w:val="Table2"/>
        <w:tblW w:w="9998.0" w:type="dxa"/>
        <w:jc w:val="left"/>
        <w:tblInd w:w="139.0" w:type="dxa"/>
        <w:tblLayout w:type="fixed"/>
        <w:tblLook w:val="0400"/>
      </w:tblPr>
      <w:tblGrid>
        <w:gridCol w:w="1383"/>
        <w:gridCol w:w="1200"/>
        <w:gridCol w:w="1047"/>
        <w:gridCol w:w="1419"/>
        <w:gridCol w:w="1630"/>
        <w:gridCol w:w="1460"/>
        <w:gridCol w:w="1859"/>
        <w:tblGridChange w:id="0">
          <w:tblGrid>
            <w:gridCol w:w="1383"/>
            <w:gridCol w:w="1200"/>
            <w:gridCol w:w="1047"/>
            <w:gridCol w:w="1419"/>
            <w:gridCol w:w="1630"/>
            <w:gridCol w:w="1460"/>
            <w:gridCol w:w="1859"/>
          </w:tblGrid>
        </w:tblGridChange>
      </w:tblGrid>
      <w:tr>
        <w:trPr>
          <w:cantSplit w:val="0"/>
          <w:trHeight w:val="1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ind w:left="17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left="17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(Planned)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(as 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Planned 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ind w:left="5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1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ind w:left="5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ind w:left="1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5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ind w:left="1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left="5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9" w:lineRule="auto"/>
        <w:ind w:left="101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" w:lineRule="auto"/>
        <w:ind w:right="9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Imagine we have a 10-day sprint duration, and the velocity of the team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34" w:lineRule="auto"/>
        <w:ind w:left="1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(points per sprint). Let’s calculate the team’s average velocity (AV) per iteration unit (story points per day)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32" w:lineRule="auto"/>
        <w:ind w:right="909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" w:lineRule="auto"/>
        <w:ind w:left="2167" w:firstLine="0"/>
        <w:rPr/>
      </w:pPr>
      <w:r w:rsidDel="00000000" w:rsidR="00000000" w:rsidRPr="00000000">
        <w:rPr/>
        <w:drawing>
          <wp:inline distB="0" distT="0" distL="0" distR="0">
            <wp:extent cx="3322320" cy="4800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80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101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Burndown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34" w:lineRule="auto"/>
        <w:ind w:left="100" w:firstLine="72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burn down chart is a graphical representation of work left to do versus time. It is often used in agile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software development 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ethodologies such as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Scrum. 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owever, burn down charts can be applied to any project containing measurable progress over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79" w:lineRule="auto"/>
        <w:ind w:left="120" w:firstLine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u w:val="single"/>
            <w:rtl w:val="0"/>
          </w:rPr>
          <w:t xml:space="preserve">https://www.visual-paradigm.com/scrum/scrum-burndown-chart/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u w:val="single"/>
            <w:rtl w:val="0"/>
          </w:rPr>
          <w:t xml:space="preserve">https://www.atlassian.com/agile/tutorials/burndown-charts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u w:val="single"/>
            <w:rtl w:val="0"/>
          </w:rPr>
          <w:t xml:space="preserve">https://www.atlassian.com/agile/project-management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u w:val="single"/>
            <w:rtl w:val="0"/>
          </w:rPr>
          <w:t xml:space="preserve">https://www.atlassian.com/agile/tutorials/how-to-do-scrum-with-jira-software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u w:val="single"/>
            <w:rtl w:val="0"/>
          </w:rPr>
          <w:t xml:space="preserve">https://www.atlassian.com/agile/tutorials/epics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u w:val="single"/>
            <w:rtl w:val="0"/>
          </w:rPr>
          <w:t xml:space="preserve">https://www.atlassian.com/agile/tutorials/sprints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u w:val="single"/>
            <w:rtl w:val="0"/>
          </w:rPr>
          <w:t xml:space="preserve">https://www.atlassian.com/agile/tutorials/burndown-charts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461c1"/>
            <w:sz w:val="28"/>
            <w:szCs w:val="28"/>
            <w:u w:val="single"/>
            <w:rtl w:val="0"/>
          </w:rPr>
          <w:t xml:space="preserve">https://www.atlassian.com/agile/project-management/estimation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sectPr>
      <w:pgSz w:h="16838" w:w="11909" w:orient="portrait"/>
      <w:pgMar w:bottom="1755" w:top="1413" w:left="1320" w:right="14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15.0" w:type="dxa"/>
        <w:bottom w:w="0.0" w:type="dxa"/>
        <w:right w:w="5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15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21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" TargetMode="External"/><Relationship Id="rId24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project-management/estim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epics" TargetMode="External"/><Relationship Id="rId16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tlassian.com/agile/tutorials/spri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atlassian.com/agile/tutorials/epics" TargetMode="External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