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20" w:right="1355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20" w:right="1365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1" w:before="0"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1"/>
        <w:gridCol w:w="4842"/>
        <w:tblGridChange w:id="0">
          <w:tblGrid>
            <w:gridCol w:w="4511"/>
            <w:gridCol w:w="4842"/>
          </w:tblGrid>
        </w:tblGridChange>
      </w:tblGrid>
      <w:tr>
        <w:trPr>
          <w:trHeight w:val="256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November 2022</w:t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020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PNT2022TMID1</w:t>
            </w:r>
            <w:r w:rsidDel="00000000" w:rsidR="00000000" w:rsidRPr="00000000">
              <w:rPr>
                <w:color w:val="202020"/>
                <w:sz w:val="20"/>
                <w:szCs w:val="20"/>
                <w:rtl w:val="0"/>
              </w:rPr>
              <w:t xml:space="preserve">8733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020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Natural Disasters Intensity Analysis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020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Classification using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before="4" w:line="240" w:lineRule="auto"/>
        <w:ind w:firstLine="0"/>
        <w:rPr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Non-functional Requirements:</w:t>
      </w:r>
    </w:p>
    <w:p w:rsidR="00000000" w:rsidDel="00000000" w:rsidP="00000000" w:rsidRDefault="00000000" w:rsidRPr="00000000" w14:paraId="0000000F">
      <w:pPr>
        <w:spacing w:before="179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10">
      <w:pPr>
        <w:spacing w:after="0" w:before="10" w:line="240" w:lineRule="auto"/>
        <w:ind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"/>
        <w:gridCol w:w="3467"/>
        <w:gridCol w:w="4936"/>
        <w:tblGridChange w:id="0">
          <w:tblGrid>
            <w:gridCol w:w="924"/>
            <w:gridCol w:w="3467"/>
            <w:gridCol w:w="4936"/>
          </w:tblGrid>
        </w:tblGridChange>
      </w:tblGrid>
      <w:tr>
        <w:trPr>
          <w:trHeight w:val="510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8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trHeight w:val="2047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98" w:right="107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289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its capacity to help and classify disasters simply, this tool raises the standard for tool quality by illustrating that usability is a different and important viewpoint for understanding user requirements.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4" w:right="313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user-friendly model approach serves as its foundation.</w:t>
            </w:r>
          </w:p>
        </w:tc>
      </w:tr>
      <w:tr>
        <w:trPr>
          <w:trHeight w:val="77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98" w:right="107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model is secure due to the cloud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 models and also there is no login issue.</w:t>
            </w:r>
          </w:p>
        </w:tc>
      </w:tr>
      <w:tr>
        <w:trPr>
          <w:trHeight w:val="76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8" w:right="107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model is trained using deep learning,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14" w:right="14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improves the tool's effectiveness and dependability for image identification.</w:t>
            </w:r>
          </w:p>
        </w:tc>
      </w:tr>
      <w:tr>
        <w:trPr>
          <w:trHeight w:val="3073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98" w:right="107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" w:right="17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classic computer vision approach to image identification consists of the following steps: picture filtering, segmentation, feature extraction, and rule-based classification. The images from the created dataset are fed into a neural network algorithm. This is the phase of creating a deep learning or machine learning image recognition model.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Because an image recognition algorithm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trained, convolutional neural networks can distinguish certain classes.</w:t>
            </w:r>
          </w:p>
        </w:tc>
      </w:tr>
      <w:tr>
        <w:trPr>
          <w:trHeight w:val="511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98" w:right="107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8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website is accessible at any time and from any location.</w:t>
            </w:r>
          </w:p>
        </w:tc>
      </w:tr>
      <w:tr>
        <w:trPr>
          <w:trHeight w:val="1278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8" w:right="107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0202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Depending on the demands of the future, data may be amended or added.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902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Multiple data sets can be seen simultaneously and can run on web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4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browers.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50" w:w="11920" w:orient="portrait"/>
      <w:pgMar w:bottom="280" w:top="740" w:left="1340" w:right="10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