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439" w:rsidRDefault="00A80439">
      <w:pPr>
        <w:pStyle w:val="BodyText"/>
        <w:spacing w:before="3"/>
        <w:rPr>
          <w:sz w:val="20"/>
        </w:rPr>
      </w:pPr>
    </w:p>
    <w:p w:rsidR="00A80439" w:rsidRPr="00A5200B" w:rsidRDefault="00D72A38">
      <w:pPr>
        <w:pStyle w:val="Heading1"/>
        <w:spacing w:before="90"/>
        <w:rPr>
          <w:sz w:val="36"/>
          <w:szCs w:val="36"/>
        </w:rPr>
      </w:pPr>
      <w:r w:rsidRPr="00A5200B">
        <w:rPr>
          <w:sz w:val="36"/>
          <w:szCs w:val="36"/>
        </w:rPr>
        <w:t>Project Design Phase-II</w:t>
      </w:r>
    </w:p>
    <w:p w:rsidR="00A80439" w:rsidRPr="00A5200B" w:rsidRDefault="00D72A38">
      <w:pPr>
        <w:spacing w:before="19"/>
        <w:ind w:left="5683" w:right="5553"/>
        <w:jc w:val="center"/>
        <w:rPr>
          <w:b/>
          <w:sz w:val="28"/>
          <w:szCs w:val="28"/>
        </w:rPr>
      </w:pPr>
      <w:r w:rsidRPr="00A5200B">
        <w:rPr>
          <w:b/>
          <w:sz w:val="28"/>
          <w:szCs w:val="28"/>
        </w:rPr>
        <w:t>Data Flow Diagram &amp; User Stories</w:t>
      </w:r>
    </w:p>
    <w:p w:rsidR="00A80439" w:rsidRDefault="00A80439">
      <w:pPr>
        <w:pStyle w:val="BodyText"/>
        <w:rPr>
          <w:b/>
          <w:sz w:val="26"/>
        </w:rPr>
      </w:pPr>
    </w:p>
    <w:tbl>
      <w:tblPr>
        <w:tblW w:w="0" w:type="auto"/>
        <w:tblInd w:w="28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66"/>
        <w:gridCol w:w="7088"/>
      </w:tblGrid>
      <w:tr w:rsidR="00A80439">
        <w:trPr>
          <w:trHeight w:val="251"/>
        </w:trPr>
        <w:tc>
          <w:tcPr>
            <w:tcW w:w="2266" w:type="dxa"/>
          </w:tcPr>
          <w:p w:rsidR="00A80439" w:rsidRPr="00A5200B" w:rsidRDefault="00D72A38">
            <w:pPr>
              <w:pStyle w:val="TableParagraph"/>
              <w:spacing w:line="232" w:lineRule="exact"/>
              <w:ind w:left="112"/>
              <w:rPr>
                <w:b/>
              </w:rPr>
            </w:pPr>
            <w:r w:rsidRPr="00A5200B">
              <w:rPr>
                <w:b/>
              </w:rPr>
              <w:t>Date</w:t>
            </w:r>
          </w:p>
        </w:tc>
        <w:tc>
          <w:tcPr>
            <w:tcW w:w="7088" w:type="dxa"/>
          </w:tcPr>
          <w:p w:rsidR="00A80439" w:rsidRDefault="002F6284">
            <w:pPr>
              <w:pStyle w:val="TableParagraph"/>
              <w:spacing w:line="232" w:lineRule="exact"/>
              <w:ind w:left="115"/>
            </w:pPr>
            <w:r>
              <w:t>27</w:t>
            </w:r>
            <w:r w:rsidR="00D72A38">
              <w:t xml:space="preserve"> October 2022</w:t>
            </w:r>
          </w:p>
        </w:tc>
      </w:tr>
      <w:tr w:rsidR="00A80439">
        <w:trPr>
          <w:trHeight w:val="251"/>
        </w:trPr>
        <w:tc>
          <w:tcPr>
            <w:tcW w:w="2266" w:type="dxa"/>
          </w:tcPr>
          <w:p w:rsidR="00A80439" w:rsidRPr="00A5200B" w:rsidRDefault="00D72A38">
            <w:pPr>
              <w:pStyle w:val="TableParagraph"/>
              <w:spacing w:line="232" w:lineRule="exact"/>
              <w:ind w:left="112"/>
              <w:rPr>
                <w:b/>
              </w:rPr>
            </w:pPr>
            <w:r w:rsidRPr="00A5200B">
              <w:rPr>
                <w:b/>
              </w:rPr>
              <w:t>Team ID</w:t>
            </w:r>
          </w:p>
        </w:tc>
        <w:tc>
          <w:tcPr>
            <w:tcW w:w="7088" w:type="dxa"/>
          </w:tcPr>
          <w:p w:rsidR="00A80439" w:rsidRDefault="00D72A38">
            <w:pPr>
              <w:pStyle w:val="TableParagraph"/>
              <w:spacing w:line="232" w:lineRule="exact"/>
              <w:ind w:left="115"/>
            </w:pPr>
            <w:r>
              <w:t>PNT2022TMID</w:t>
            </w:r>
            <w:r w:rsidR="00A5200B">
              <w:t>33933</w:t>
            </w:r>
          </w:p>
        </w:tc>
      </w:tr>
      <w:tr w:rsidR="00A80439">
        <w:trPr>
          <w:trHeight w:val="323"/>
        </w:trPr>
        <w:tc>
          <w:tcPr>
            <w:tcW w:w="2266" w:type="dxa"/>
          </w:tcPr>
          <w:p w:rsidR="00A80439" w:rsidRPr="00A5200B" w:rsidRDefault="00D72A38">
            <w:pPr>
              <w:pStyle w:val="TableParagraph"/>
              <w:spacing w:line="235" w:lineRule="exact"/>
              <w:ind w:left="112"/>
              <w:rPr>
                <w:b/>
              </w:rPr>
            </w:pPr>
            <w:r w:rsidRPr="00A5200B">
              <w:rPr>
                <w:b/>
              </w:rPr>
              <w:t>Project Name</w:t>
            </w:r>
          </w:p>
        </w:tc>
        <w:tc>
          <w:tcPr>
            <w:tcW w:w="7088" w:type="dxa"/>
          </w:tcPr>
          <w:p w:rsidR="00A80439" w:rsidRDefault="00D72A38">
            <w:pPr>
              <w:pStyle w:val="TableParagraph"/>
              <w:spacing w:before="70" w:line="233" w:lineRule="exact"/>
              <w:ind w:left="115"/>
            </w:pPr>
            <w:r>
              <w:t>Gas Leakage Monitoring And Alerting System In Industries</w:t>
            </w:r>
          </w:p>
        </w:tc>
      </w:tr>
      <w:tr w:rsidR="00A80439">
        <w:trPr>
          <w:trHeight w:val="252"/>
        </w:trPr>
        <w:tc>
          <w:tcPr>
            <w:tcW w:w="2266" w:type="dxa"/>
          </w:tcPr>
          <w:p w:rsidR="00A80439" w:rsidRPr="00A5200B" w:rsidRDefault="00D72A38">
            <w:pPr>
              <w:pStyle w:val="TableParagraph"/>
              <w:spacing w:line="232" w:lineRule="exact"/>
              <w:ind w:left="112"/>
              <w:rPr>
                <w:b/>
              </w:rPr>
            </w:pPr>
            <w:r w:rsidRPr="00A5200B">
              <w:rPr>
                <w:b/>
              </w:rPr>
              <w:t>Maximum Marks</w:t>
            </w:r>
          </w:p>
        </w:tc>
        <w:tc>
          <w:tcPr>
            <w:tcW w:w="7088" w:type="dxa"/>
          </w:tcPr>
          <w:p w:rsidR="00A80439" w:rsidRDefault="00D72A38">
            <w:pPr>
              <w:pStyle w:val="TableParagraph"/>
              <w:spacing w:line="232" w:lineRule="exact"/>
              <w:ind w:left="115"/>
            </w:pPr>
            <w:r>
              <w:t>4 Marks</w:t>
            </w:r>
          </w:p>
        </w:tc>
      </w:tr>
    </w:tbl>
    <w:p w:rsidR="00A80439" w:rsidRDefault="00A80439">
      <w:pPr>
        <w:pStyle w:val="BodyText"/>
        <w:spacing w:before="7"/>
        <w:rPr>
          <w:b/>
          <w:sz w:val="37"/>
        </w:rPr>
      </w:pPr>
    </w:p>
    <w:p w:rsidR="00A80439" w:rsidRPr="00A5200B" w:rsidRDefault="00D72A38">
      <w:pPr>
        <w:pStyle w:val="Heading2"/>
        <w:rPr>
          <w:sz w:val="24"/>
          <w:szCs w:val="24"/>
        </w:rPr>
      </w:pPr>
      <w:r w:rsidRPr="00A5200B">
        <w:rPr>
          <w:sz w:val="24"/>
          <w:szCs w:val="24"/>
        </w:rPr>
        <w:t>Data Flow Diagrams:</w:t>
      </w:r>
    </w:p>
    <w:p w:rsidR="00A80439" w:rsidRDefault="00D72A38">
      <w:pPr>
        <w:pStyle w:val="BodyText"/>
        <w:spacing w:before="186" w:line="256" w:lineRule="auto"/>
        <w:ind w:left="220" w:right="510"/>
      </w:pPr>
      <w:r>
        <w:t>A Data Flow Diagram (DFD) is a traditional visual representation of the information flows within a system. A neat and clear DFD can depict the right</w:t>
      </w:r>
      <w:r w:rsidR="00A5200B">
        <w:t xml:space="preserve"> </w:t>
      </w:r>
      <w:r>
        <w:t>amount of the system requirement graph</w:t>
      </w:r>
      <w:r w:rsidR="00A5200B">
        <w:t>ically. It shows how data enter</w:t>
      </w:r>
      <w:r>
        <w:t xml:space="preserve"> and leaves the system, what changes the information, and where data is stored.</w:t>
      </w:r>
    </w:p>
    <w:p w:rsidR="00A80439" w:rsidRDefault="00A80439">
      <w:pPr>
        <w:pStyle w:val="BodyText"/>
        <w:spacing w:before="6"/>
        <w:rPr>
          <w:sz w:val="24"/>
        </w:rPr>
      </w:pPr>
    </w:p>
    <w:p w:rsidR="00A80439" w:rsidRDefault="00A5200B">
      <w:pPr>
        <w:pStyle w:val="Heading2"/>
        <w:spacing w:before="92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1545590</wp:posOffset>
            </wp:positionH>
            <wp:positionV relativeFrom="paragraph">
              <wp:posOffset>-3467100</wp:posOffset>
            </wp:positionV>
            <wp:extent cx="4676775" cy="2981325"/>
            <wp:effectExtent l="19050" t="0" r="9525" b="0"/>
            <wp:wrapTopAndBottom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2A38">
        <w:t>User Stories</w:t>
      </w:r>
    </w:p>
    <w:p w:rsidR="00A80439" w:rsidRDefault="00D72A38">
      <w:pPr>
        <w:pStyle w:val="BodyText"/>
        <w:spacing w:before="179"/>
        <w:ind w:left="220"/>
      </w:pPr>
      <w:r>
        <w:t>Use the below template to list all the user stories for the product.</w:t>
      </w:r>
    </w:p>
    <w:p w:rsidR="00A80439" w:rsidRDefault="00A80439">
      <w:pPr>
        <w:pStyle w:val="BodyText"/>
        <w:spacing w:before="10"/>
        <w:rPr>
          <w:sz w:val="15"/>
        </w:rPr>
      </w:pPr>
    </w:p>
    <w:tbl>
      <w:tblPr>
        <w:tblW w:w="0" w:type="auto"/>
        <w:tblInd w:w="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68"/>
        <w:gridCol w:w="1851"/>
        <w:gridCol w:w="1308"/>
        <w:gridCol w:w="4328"/>
        <w:gridCol w:w="2598"/>
        <w:gridCol w:w="1371"/>
        <w:gridCol w:w="1376"/>
      </w:tblGrid>
      <w:tr w:rsidR="00A80439">
        <w:trPr>
          <w:trHeight w:val="686"/>
        </w:trPr>
        <w:tc>
          <w:tcPr>
            <w:tcW w:w="1668" w:type="dxa"/>
          </w:tcPr>
          <w:p w:rsidR="00A80439" w:rsidRDefault="00D72A38">
            <w:pPr>
              <w:pStyle w:val="TableParagraph"/>
              <w:spacing w:line="225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User Type</w:t>
            </w:r>
          </w:p>
        </w:tc>
        <w:tc>
          <w:tcPr>
            <w:tcW w:w="1851" w:type="dxa"/>
          </w:tcPr>
          <w:p w:rsidR="00A80439" w:rsidRDefault="00D72A38">
            <w:pPr>
              <w:pStyle w:val="TableParagraph"/>
              <w:spacing w:line="237" w:lineRule="auto"/>
              <w:ind w:left="11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Functional </w:t>
            </w:r>
            <w:r>
              <w:rPr>
                <w:b/>
                <w:w w:val="95"/>
                <w:sz w:val="20"/>
              </w:rPr>
              <w:t>Requirement (Epic)</w:t>
            </w:r>
          </w:p>
        </w:tc>
        <w:tc>
          <w:tcPr>
            <w:tcW w:w="1308" w:type="dxa"/>
          </w:tcPr>
          <w:p w:rsidR="00A80439" w:rsidRDefault="00D72A38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sz w:val="20"/>
              </w:rPr>
              <w:t>User Story Number</w:t>
            </w:r>
          </w:p>
        </w:tc>
        <w:tc>
          <w:tcPr>
            <w:tcW w:w="4328" w:type="dxa"/>
          </w:tcPr>
          <w:p w:rsidR="00A80439" w:rsidRDefault="00D72A38">
            <w:pPr>
              <w:pStyle w:val="TableParagraph"/>
              <w:spacing w:line="225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User Story / Task</w:t>
            </w:r>
          </w:p>
        </w:tc>
        <w:tc>
          <w:tcPr>
            <w:tcW w:w="2598" w:type="dxa"/>
          </w:tcPr>
          <w:p w:rsidR="00A80439" w:rsidRDefault="00D72A38">
            <w:pPr>
              <w:pStyle w:val="TableParagraph"/>
              <w:spacing w:line="225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Acceptance criteria</w:t>
            </w:r>
          </w:p>
        </w:tc>
        <w:tc>
          <w:tcPr>
            <w:tcW w:w="1371" w:type="dxa"/>
          </w:tcPr>
          <w:p w:rsidR="00A80439" w:rsidRDefault="00D72A38">
            <w:pPr>
              <w:pStyle w:val="TableParagraph"/>
              <w:spacing w:line="225" w:lineRule="exact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376" w:type="dxa"/>
          </w:tcPr>
          <w:p w:rsidR="00A80439" w:rsidRDefault="00D72A38">
            <w:pPr>
              <w:pStyle w:val="TableParagraph"/>
              <w:spacing w:line="225" w:lineRule="exact"/>
              <w:ind w:left="116"/>
              <w:rPr>
                <w:b/>
                <w:sz w:val="20"/>
              </w:rPr>
            </w:pPr>
            <w:r>
              <w:rPr>
                <w:b/>
                <w:sz w:val="20"/>
              </w:rPr>
              <w:t>Release</w:t>
            </w:r>
          </w:p>
        </w:tc>
      </w:tr>
      <w:tr w:rsidR="00A80439">
        <w:trPr>
          <w:trHeight w:val="981"/>
        </w:trPr>
        <w:tc>
          <w:tcPr>
            <w:tcW w:w="1668" w:type="dxa"/>
          </w:tcPr>
          <w:p w:rsidR="00A80439" w:rsidRDefault="00D72A38">
            <w:pPr>
              <w:pStyle w:val="TableParagraph"/>
              <w:ind w:right="817"/>
              <w:rPr>
                <w:sz w:val="20"/>
              </w:rPr>
            </w:pPr>
            <w:r>
              <w:rPr>
                <w:sz w:val="20"/>
              </w:rPr>
              <w:t>Worker in industry</w:t>
            </w:r>
          </w:p>
        </w:tc>
        <w:tc>
          <w:tcPr>
            <w:tcW w:w="1851" w:type="dxa"/>
          </w:tcPr>
          <w:p w:rsidR="00A80439" w:rsidRDefault="00D72A38">
            <w:pPr>
              <w:pStyle w:val="TableParagraph"/>
              <w:ind w:left="5" w:right="149"/>
              <w:rPr>
                <w:sz w:val="20"/>
              </w:rPr>
            </w:pPr>
            <w:r>
              <w:rPr>
                <w:sz w:val="20"/>
              </w:rPr>
              <w:t>Gas detection design coverage</w:t>
            </w:r>
          </w:p>
        </w:tc>
        <w:tc>
          <w:tcPr>
            <w:tcW w:w="1308" w:type="dxa"/>
          </w:tcPr>
          <w:p w:rsidR="00A80439" w:rsidRDefault="00D72A38">
            <w:pPr>
              <w:pStyle w:val="TableParagraph"/>
              <w:spacing w:line="228" w:lineRule="exact"/>
              <w:ind w:left="113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8" w:type="dxa"/>
          </w:tcPr>
          <w:p w:rsidR="00A80439" w:rsidRDefault="00D72A38">
            <w:pPr>
              <w:pStyle w:val="TableParagraph"/>
              <w:ind w:right="234"/>
              <w:rPr>
                <w:sz w:val="20"/>
              </w:rPr>
            </w:pPr>
            <w:r>
              <w:rPr>
                <w:sz w:val="20"/>
              </w:rPr>
              <w:t>Area Coverage for Gas Detectors Like smoke detectors, a gas detector is capable of providing up to 75SQM area coverage based on a 5M radius of operation.</w:t>
            </w:r>
          </w:p>
        </w:tc>
        <w:tc>
          <w:tcPr>
            <w:tcW w:w="2598" w:type="dxa"/>
          </w:tcPr>
          <w:p w:rsidR="00A80439" w:rsidRDefault="00D72A38">
            <w:pPr>
              <w:pStyle w:val="TableParagraph"/>
              <w:ind w:right="270"/>
              <w:rPr>
                <w:sz w:val="20"/>
              </w:rPr>
            </w:pPr>
            <w:r>
              <w:rPr>
                <w:sz w:val="20"/>
              </w:rPr>
              <w:t>Design coverage measures the percentage of test cases coverage against the number of requirements</w:t>
            </w:r>
          </w:p>
        </w:tc>
        <w:tc>
          <w:tcPr>
            <w:tcW w:w="1371" w:type="dxa"/>
          </w:tcPr>
          <w:p w:rsidR="00A80439" w:rsidRDefault="00D72A38">
            <w:pPr>
              <w:pStyle w:val="TableParagraph"/>
              <w:spacing w:line="228" w:lineRule="exact"/>
              <w:ind w:left="11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6" w:type="dxa"/>
          </w:tcPr>
          <w:p w:rsidR="00A80439" w:rsidRDefault="00D72A38">
            <w:pPr>
              <w:pStyle w:val="TableParagraph"/>
              <w:spacing w:line="228" w:lineRule="exact"/>
              <w:ind w:left="11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A80439">
        <w:trPr>
          <w:trHeight w:val="688"/>
        </w:trPr>
        <w:tc>
          <w:tcPr>
            <w:tcW w:w="1668" w:type="dxa"/>
          </w:tcPr>
          <w:p w:rsidR="00A80439" w:rsidRDefault="00D72A3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Owner in industry</w:t>
            </w:r>
          </w:p>
        </w:tc>
        <w:tc>
          <w:tcPr>
            <w:tcW w:w="1851" w:type="dxa"/>
          </w:tcPr>
          <w:p w:rsidR="00A80439" w:rsidRDefault="00D72A38">
            <w:pPr>
              <w:pStyle w:val="TableParagraph"/>
              <w:ind w:left="5"/>
              <w:rPr>
                <w:sz w:val="20"/>
              </w:rPr>
            </w:pPr>
            <w:r>
              <w:rPr>
                <w:sz w:val="20"/>
              </w:rPr>
              <w:t>Leak detection</w:t>
            </w:r>
          </w:p>
        </w:tc>
        <w:tc>
          <w:tcPr>
            <w:tcW w:w="1308" w:type="dxa"/>
          </w:tcPr>
          <w:p w:rsidR="00A80439" w:rsidRDefault="00D72A38">
            <w:pPr>
              <w:pStyle w:val="TableParagraph"/>
              <w:spacing w:line="225" w:lineRule="exact"/>
              <w:ind w:left="113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8" w:type="dxa"/>
          </w:tcPr>
          <w:p w:rsidR="00A80439" w:rsidRDefault="00D72A38">
            <w:pPr>
              <w:pStyle w:val="TableParagraph"/>
              <w:spacing w:line="228" w:lineRule="exact"/>
              <w:ind w:left="55"/>
              <w:rPr>
                <w:sz w:val="20"/>
              </w:rPr>
            </w:pPr>
            <w:r>
              <w:rPr>
                <w:sz w:val="20"/>
              </w:rPr>
              <w:t>In industrial settings leak detection is a routine</w:t>
            </w:r>
          </w:p>
          <w:p w:rsidR="00A80439" w:rsidRDefault="00D72A38">
            <w:pPr>
              <w:pStyle w:val="TableParagraph"/>
              <w:spacing w:before="4" w:line="228" w:lineRule="exact"/>
              <w:ind w:right="500"/>
              <w:rPr>
                <w:sz w:val="20"/>
              </w:rPr>
            </w:pPr>
            <w:proofErr w:type="gramStart"/>
            <w:r>
              <w:rPr>
                <w:sz w:val="20"/>
              </w:rPr>
              <w:t>procedure</w:t>
            </w:r>
            <w:proofErr w:type="gramEnd"/>
            <w:r>
              <w:rPr>
                <w:sz w:val="20"/>
              </w:rPr>
              <w:t xml:space="preserve"> that is necessary for monitoring product movement.</w:t>
            </w:r>
          </w:p>
        </w:tc>
        <w:tc>
          <w:tcPr>
            <w:tcW w:w="2598" w:type="dxa"/>
          </w:tcPr>
          <w:p w:rsidR="00A80439" w:rsidRDefault="00D72A38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To detect leaks in fluid</w:t>
            </w:r>
          </w:p>
          <w:p w:rsidR="00A80439" w:rsidRDefault="00D72A38">
            <w:pPr>
              <w:pStyle w:val="TableParagraph"/>
              <w:spacing w:before="4" w:line="228" w:lineRule="exact"/>
              <w:ind w:right="198"/>
              <w:rPr>
                <w:sz w:val="20"/>
              </w:rPr>
            </w:pPr>
            <w:r>
              <w:rPr>
                <w:sz w:val="20"/>
              </w:rPr>
              <w:t>system such as piping network and pressure vessels</w:t>
            </w:r>
          </w:p>
        </w:tc>
        <w:tc>
          <w:tcPr>
            <w:tcW w:w="1371" w:type="dxa"/>
          </w:tcPr>
          <w:p w:rsidR="00A80439" w:rsidRDefault="00D72A38">
            <w:pPr>
              <w:pStyle w:val="TableParagraph"/>
              <w:spacing w:line="225" w:lineRule="exact"/>
              <w:ind w:left="11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6" w:type="dxa"/>
          </w:tcPr>
          <w:p w:rsidR="00A80439" w:rsidRDefault="00D72A38">
            <w:pPr>
              <w:pStyle w:val="TableParagraph"/>
              <w:spacing w:line="225" w:lineRule="exact"/>
              <w:ind w:left="11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A80439">
        <w:trPr>
          <w:trHeight w:val="1185"/>
        </w:trPr>
        <w:tc>
          <w:tcPr>
            <w:tcW w:w="1668" w:type="dxa"/>
          </w:tcPr>
          <w:p w:rsidR="00A80439" w:rsidRDefault="00D72A3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Owner in industry</w:t>
            </w:r>
          </w:p>
        </w:tc>
        <w:tc>
          <w:tcPr>
            <w:tcW w:w="1851" w:type="dxa"/>
          </w:tcPr>
          <w:p w:rsidR="00A80439" w:rsidRDefault="00D72A38">
            <w:pPr>
              <w:pStyle w:val="TableParagraph"/>
              <w:ind w:left="5"/>
              <w:rPr>
                <w:sz w:val="20"/>
              </w:rPr>
            </w:pPr>
            <w:r>
              <w:rPr>
                <w:sz w:val="20"/>
              </w:rPr>
              <w:t>Gas detection actions</w:t>
            </w:r>
          </w:p>
        </w:tc>
        <w:tc>
          <w:tcPr>
            <w:tcW w:w="1308" w:type="dxa"/>
          </w:tcPr>
          <w:p w:rsidR="00A80439" w:rsidRDefault="00D72A38">
            <w:pPr>
              <w:pStyle w:val="TableParagraph"/>
              <w:spacing w:line="228" w:lineRule="exact"/>
              <w:ind w:left="113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8" w:type="dxa"/>
          </w:tcPr>
          <w:p w:rsidR="00A80439" w:rsidRDefault="00D72A38">
            <w:pPr>
              <w:pStyle w:val="TableParagraph"/>
              <w:ind w:right="500"/>
              <w:rPr>
                <w:sz w:val="20"/>
              </w:rPr>
            </w:pPr>
            <w:r>
              <w:rPr>
                <w:sz w:val="20"/>
              </w:rPr>
              <w:t>A gas detection system is usually connected with an alarm system, so as soon as the potentially dangerous gas is detected, the alarm is set to ON automatically, which warns the</w:t>
            </w:r>
          </w:p>
          <w:p w:rsidR="00A80439" w:rsidRDefault="00D72A38">
            <w:pPr>
              <w:pStyle w:val="TableParagraph"/>
              <w:spacing w:line="245" w:lineRule="exact"/>
              <w:rPr>
                <w:rFonts w:ascii="Roboto"/>
              </w:rPr>
            </w:pPr>
            <w:proofErr w:type="gramStart"/>
            <w:r>
              <w:rPr>
                <w:sz w:val="20"/>
              </w:rPr>
              <w:t>workers</w:t>
            </w:r>
            <w:proofErr w:type="gramEnd"/>
            <w:r>
              <w:rPr>
                <w:sz w:val="20"/>
              </w:rPr>
              <w:t xml:space="preserve"> in time to safely evacuate</w:t>
            </w:r>
            <w:r>
              <w:rPr>
                <w:rFonts w:ascii="Roboto"/>
              </w:rPr>
              <w:t>.</w:t>
            </w:r>
          </w:p>
        </w:tc>
        <w:tc>
          <w:tcPr>
            <w:tcW w:w="2598" w:type="dxa"/>
          </w:tcPr>
          <w:p w:rsidR="00A80439" w:rsidRDefault="00D72A38">
            <w:pPr>
              <w:pStyle w:val="TableParagraph"/>
              <w:ind w:right="170"/>
              <w:rPr>
                <w:sz w:val="20"/>
              </w:rPr>
            </w:pPr>
            <w:r>
              <w:rPr>
                <w:color w:val="4D5155"/>
                <w:sz w:val="20"/>
              </w:rPr>
              <w:t>Gas detection systems are used to monitor and either alarm or be part of processing control</w:t>
            </w:r>
          </w:p>
        </w:tc>
        <w:tc>
          <w:tcPr>
            <w:tcW w:w="1371" w:type="dxa"/>
          </w:tcPr>
          <w:p w:rsidR="00A80439" w:rsidRDefault="00D72A38">
            <w:pPr>
              <w:pStyle w:val="TableParagraph"/>
              <w:spacing w:line="228" w:lineRule="exact"/>
              <w:ind w:left="114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6" w:type="dxa"/>
          </w:tcPr>
          <w:p w:rsidR="00A80439" w:rsidRDefault="00D72A38">
            <w:pPr>
              <w:pStyle w:val="TableParagraph"/>
              <w:spacing w:line="228" w:lineRule="exact"/>
              <w:ind w:left="116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A80439">
        <w:trPr>
          <w:trHeight w:val="1139"/>
        </w:trPr>
        <w:tc>
          <w:tcPr>
            <w:tcW w:w="1668" w:type="dxa"/>
          </w:tcPr>
          <w:p w:rsidR="00A80439" w:rsidRDefault="00D72A3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Worker in industry</w:t>
            </w:r>
          </w:p>
        </w:tc>
        <w:tc>
          <w:tcPr>
            <w:tcW w:w="1851" w:type="dxa"/>
          </w:tcPr>
          <w:p w:rsidR="00A80439" w:rsidRDefault="00D72A38">
            <w:pPr>
              <w:pStyle w:val="TableParagraph"/>
              <w:ind w:left="5"/>
              <w:rPr>
                <w:sz w:val="20"/>
              </w:rPr>
            </w:pPr>
            <w:r>
              <w:rPr>
                <w:sz w:val="20"/>
              </w:rPr>
              <w:t>Gas detection location</w:t>
            </w:r>
          </w:p>
        </w:tc>
        <w:tc>
          <w:tcPr>
            <w:tcW w:w="1308" w:type="dxa"/>
          </w:tcPr>
          <w:p w:rsidR="00A80439" w:rsidRDefault="00D72A38">
            <w:pPr>
              <w:pStyle w:val="TableParagraph"/>
              <w:spacing w:line="225" w:lineRule="exact"/>
              <w:ind w:left="113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28" w:type="dxa"/>
          </w:tcPr>
          <w:p w:rsidR="00A80439" w:rsidRDefault="00D72A38">
            <w:pPr>
              <w:pStyle w:val="TableParagraph"/>
              <w:spacing w:line="228" w:lineRule="exact"/>
              <w:ind w:right="611"/>
              <w:rPr>
                <w:rFonts w:ascii="Arial"/>
                <w:sz w:val="20"/>
              </w:rPr>
            </w:pPr>
            <w:proofErr w:type="gramStart"/>
            <w:r>
              <w:rPr>
                <w:rFonts w:ascii="Arial"/>
                <w:color w:val="1F2023"/>
                <w:sz w:val="20"/>
              </w:rPr>
              <w:t>A gas detection sensors</w:t>
            </w:r>
            <w:proofErr w:type="gramEnd"/>
            <w:r>
              <w:rPr>
                <w:rFonts w:ascii="Arial"/>
                <w:color w:val="1F2023"/>
                <w:sz w:val="20"/>
              </w:rPr>
              <w:t xml:space="preserve"> should be located near the floor for gases or vapors three or four times heavier than air. They should be installed near the ceiling </w:t>
            </w:r>
            <w:proofErr w:type="spellStart"/>
            <w:r>
              <w:rPr>
                <w:rFonts w:ascii="Arial"/>
                <w:color w:val="1F2023"/>
                <w:sz w:val="20"/>
              </w:rPr>
              <w:t>orroof</w:t>
            </w:r>
            <w:proofErr w:type="spellEnd"/>
            <w:r>
              <w:rPr>
                <w:rFonts w:ascii="Arial"/>
                <w:color w:val="1F2023"/>
                <w:sz w:val="20"/>
              </w:rPr>
              <w:t xml:space="preserve"> to detect lighter-than-</w:t>
            </w:r>
            <w:proofErr w:type="spellStart"/>
            <w:r>
              <w:rPr>
                <w:rFonts w:ascii="Arial"/>
                <w:color w:val="1F2023"/>
                <w:sz w:val="20"/>
              </w:rPr>
              <w:t>airgases</w:t>
            </w:r>
            <w:proofErr w:type="spellEnd"/>
            <w:r>
              <w:rPr>
                <w:rFonts w:ascii="Arial"/>
                <w:color w:val="1F2023"/>
                <w:sz w:val="20"/>
              </w:rPr>
              <w:t>.</w:t>
            </w:r>
          </w:p>
        </w:tc>
        <w:tc>
          <w:tcPr>
            <w:tcW w:w="2598" w:type="dxa"/>
          </w:tcPr>
          <w:p w:rsidR="00A80439" w:rsidRDefault="00D72A38">
            <w:pPr>
              <w:pStyle w:val="TableParagraph"/>
              <w:rPr>
                <w:rFonts w:ascii="Arial"/>
                <w:sz w:val="20"/>
              </w:rPr>
            </w:pPr>
            <w:r>
              <w:rPr>
                <w:rFonts w:ascii="Arial"/>
                <w:color w:val="1F2023"/>
                <w:sz w:val="20"/>
              </w:rPr>
              <w:t>To detect install your natural gas detectors in locations close to sources of natural gas.</w:t>
            </w:r>
          </w:p>
        </w:tc>
        <w:tc>
          <w:tcPr>
            <w:tcW w:w="1371" w:type="dxa"/>
          </w:tcPr>
          <w:p w:rsidR="00A80439" w:rsidRDefault="00D72A38">
            <w:pPr>
              <w:pStyle w:val="TableParagraph"/>
              <w:spacing w:line="225" w:lineRule="exact"/>
              <w:ind w:left="11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6" w:type="dxa"/>
          </w:tcPr>
          <w:p w:rsidR="00A80439" w:rsidRDefault="00D72A38">
            <w:pPr>
              <w:pStyle w:val="TableParagraph"/>
              <w:spacing w:line="225" w:lineRule="exact"/>
              <w:ind w:left="11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A80439">
        <w:trPr>
          <w:trHeight w:val="1152"/>
        </w:trPr>
        <w:tc>
          <w:tcPr>
            <w:tcW w:w="1668" w:type="dxa"/>
          </w:tcPr>
          <w:p w:rsidR="00A80439" w:rsidRDefault="00D72A3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Worker in industry</w:t>
            </w:r>
          </w:p>
        </w:tc>
        <w:tc>
          <w:tcPr>
            <w:tcW w:w="1851" w:type="dxa"/>
          </w:tcPr>
          <w:p w:rsidR="00A80439" w:rsidRDefault="00D72A38">
            <w:pPr>
              <w:pStyle w:val="TableParagraph"/>
              <w:spacing w:line="225" w:lineRule="exact"/>
              <w:ind w:left="5"/>
              <w:rPr>
                <w:sz w:val="20"/>
              </w:rPr>
            </w:pPr>
            <w:r>
              <w:rPr>
                <w:sz w:val="20"/>
              </w:rPr>
              <w:t>Gas detection levels</w:t>
            </w:r>
          </w:p>
        </w:tc>
        <w:tc>
          <w:tcPr>
            <w:tcW w:w="1308" w:type="dxa"/>
          </w:tcPr>
          <w:p w:rsidR="00A80439" w:rsidRDefault="00D72A38">
            <w:pPr>
              <w:pStyle w:val="TableParagraph"/>
              <w:spacing w:line="225" w:lineRule="exact"/>
              <w:ind w:left="113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28" w:type="dxa"/>
          </w:tcPr>
          <w:p w:rsidR="00A80439" w:rsidRDefault="00D72A38">
            <w:pPr>
              <w:pStyle w:val="TableParagraph"/>
              <w:ind w:right="758"/>
              <w:rPr>
                <w:rFonts w:ascii="Arial"/>
                <w:sz w:val="20"/>
              </w:rPr>
            </w:pPr>
            <w:r>
              <w:rPr>
                <w:sz w:val="20"/>
              </w:rPr>
              <w:t xml:space="preserve">A gas detection </w:t>
            </w:r>
            <w:r>
              <w:rPr>
                <w:rFonts w:ascii="Arial"/>
                <w:color w:val="1F2023"/>
                <w:sz w:val="20"/>
              </w:rPr>
              <w:t>levels programmed, typically 10-20% LEL for a first alarm (warning) and 20-40% LEL for a second</w:t>
            </w:r>
          </w:p>
          <w:p w:rsidR="00A80439" w:rsidRDefault="00D72A38">
            <w:pPr>
              <w:pStyle w:val="TableParagraph"/>
              <w:spacing w:before="2" w:line="228" w:lineRule="exact"/>
              <w:ind w:right="858"/>
              <w:rPr>
                <w:rFonts w:ascii="Arial"/>
                <w:sz w:val="20"/>
              </w:rPr>
            </w:pPr>
            <w:r>
              <w:rPr>
                <w:rFonts w:ascii="Arial"/>
                <w:color w:val="1F2023"/>
                <w:sz w:val="20"/>
              </w:rPr>
              <w:t>stage alarm to evacuate or take further action</w:t>
            </w:r>
          </w:p>
        </w:tc>
        <w:tc>
          <w:tcPr>
            <w:tcW w:w="2598" w:type="dxa"/>
          </w:tcPr>
          <w:p w:rsidR="00A80439" w:rsidRDefault="00D72A38">
            <w:pPr>
              <w:pStyle w:val="TableParagraph"/>
              <w:ind w:right="40"/>
              <w:rPr>
                <w:rFonts w:ascii="Arial"/>
                <w:sz w:val="20"/>
              </w:rPr>
            </w:pPr>
            <w:r>
              <w:rPr>
                <w:sz w:val="20"/>
              </w:rPr>
              <w:t xml:space="preserve">Gas detection </w:t>
            </w:r>
            <w:r>
              <w:rPr>
                <w:rFonts w:ascii="Arial"/>
                <w:color w:val="1F2023"/>
                <w:sz w:val="20"/>
              </w:rPr>
              <w:t>level shows the percentage within a safety range of 0-10% of the Lower Explosive Limit (LEL) and,</w:t>
            </w:r>
          </w:p>
          <w:p w:rsidR="00A80439" w:rsidRDefault="00D72A38">
            <w:pPr>
              <w:pStyle w:val="TableParagraph"/>
              <w:spacing w:line="211" w:lineRule="exact"/>
              <w:rPr>
                <w:rFonts w:ascii="Arial"/>
                <w:sz w:val="20"/>
              </w:rPr>
            </w:pPr>
            <w:r>
              <w:rPr>
                <w:rFonts w:ascii="Arial"/>
                <w:color w:val="1F2023"/>
                <w:sz w:val="20"/>
              </w:rPr>
              <w:t>ideally, should read 0%</w:t>
            </w:r>
          </w:p>
        </w:tc>
        <w:tc>
          <w:tcPr>
            <w:tcW w:w="1371" w:type="dxa"/>
          </w:tcPr>
          <w:p w:rsidR="00A80439" w:rsidRDefault="00D72A38">
            <w:pPr>
              <w:pStyle w:val="TableParagraph"/>
              <w:spacing w:line="225" w:lineRule="exact"/>
              <w:ind w:left="11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6" w:type="dxa"/>
          </w:tcPr>
          <w:p w:rsidR="00A80439" w:rsidRDefault="00D72A38">
            <w:pPr>
              <w:pStyle w:val="TableParagraph"/>
              <w:spacing w:line="225" w:lineRule="exact"/>
              <w:ind w:left="11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A80439">
        <w:trPr>
          <w:trHeight w:val="918"/>
        </w:trPr>
        <w:tc>
          <w:tcPr>
            <w:tcW w:w="1668" w:type="dxa"/>
          </w:tcPr>
          <w:p w:rsidR="00A80439" w:rsidRDefault="00D72A3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Worker in industry</w:t>
            </w:r>
          </w:p>
        </w:tc>
        <w:tc>
          <w:tcPr>
            <w:tcW w:w="1851" w:type="dxa"/>
          </w:tcPr>
          <w:p w:rsidR="00A80439" w:rsidRDefault="00D72A38">
            <w:pPr>
              <w:pStyle w:val="TableParagraph"/>
              <w:spacing w:line="237" w:lineRule="auto"/>
              <w:ind w:left="5" w:right="721"/>
              <w:rPr>
                <w:sz w:val="20"/>
              </w:rPr>
            </w:pPr>
            <w:r>
              <w:rPr>
                <w:sz w:val="20"/>
              </w:rPr>
              <w:t>Gas detection calibration</w:t>
            </w:r>
          </w:p>
        </w:tc>
        <w:tc>
          <w:tcPr>
            <w:tcW w:w="1308" w:type="dxa"/>
          </w:tcPr>
          <w:p w:rsidR="00A80439" w:rsidRDefault="00D72A38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28" w:type="dxa"/>
          </w:tcPr>
          <w:p w:rsidR="00A80439" w:rsidRDefault="00D72A38">
            <w:pPr>
              <w:pStyle w:val="TableParagraph"/>
              <w:ind w:firstLine="50"/>
              <w:rPr>
                <w:rFonts w:ascii="Arial"/>
              </w:rPr>
            </w:pPr>
            <w:r>
              <w:rPr>
                <w:sz w:val="20"/>
              </w:rPr>
              <w:t xml:space="preserve">A gas detection calibration </w:t>
            </w:r>
            <w:r>
              <w:rPr>
                <w:rFonts w:ascii="Arial"/>
                <w:color w:val="1F2023"/>
                <w:sz w:val="20"/>
              </w:rPr>
              <w:t>must be traceable to a national or international standard in order to be considered accurate for calibration</w:t>
            </w:r>
            <w:r>
              <w:rPr>
                <w:rFonts w:ascii="Arial"/>
                <w:color w:val="1F2023"/>
              </w:rPr>
              <w:t>.</w:t>
            </w:r>
          </w:p>
        </w:tc>
        <w:tc>
          <w:tcPr>
            <w:tcW w:w="2598" w:type="dxa"/>
          </w:tcPr>
          <w:p w:rsidR="00A80439" w:rsidRDefault="00D72A38">
            <w:pPr>
              <w:pStyle w:val="TableParagraph"/>
              <w:ind w:right="114"/>
              <w:rPr>
                <w:rFonts w:ascii="Arial"/>
                <w:sz w:val="20"/>
              </w:rPr>
            </w:pPr>
            <w:r>
              <w:rPr>
                <w:rFonts w:ascii="Arial"/>
                <w:color w:val="1F2023"/>
                <w:sz w:val="20"/>
              </w:rPr>
              <w:t xml:space="preserve">Calibration is recommended annually or if bump testing </w:t>
            </w:r>
            <w:proofErr w:type="spellStart"/>
            <w:r>
              <w:rPr>
                <w:rFonts w:ascii="Arial"/>
                <w:color w:val="1F2023"/>
                <w:sz w:val="20"/>
              </w:rPr>
              <w:t>indicatesan</w:t>
            </w:r>
            <w:proofErr w:type="spellEnd"/>
          </w:p>
          <w:p w:rsidR="00A80439" w:rsidRDefault="00D72A38">
            <w:pPr>
              <w:pStyle w:val="TableParagraph"/>
              <w:spacing w:line="209" w:lineRule="exact"/>
              <w:rPr>
                <w:rFonts w:ascii="Arial"/>
                <w:sz w:val="20"/>
              </w:rPr>
            </w:pPr>
            <w:r>
              <w:rPr>
                <w:rFonts w:ascii="Arial"/>
                <w:color w:val="1F2023"/>
                <w:sz w:val="20"/>
              </w:rPr>
              <w:t>out of spec sensor</w:t>
            </w:r>
          </w:p>
        </w:tc>
        <w:tc>
          <w:tcPr>
            <w:tcW w:w="1371" w:type="dxa"/>
          </w:tcPr>
          <w:p w:rsidR="00A80439" w:rsidRDefault="00D72A38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6" w:type="dxa"/>
          </w:tcPr>
          <w:p w:rsidR="00A80439" w:rsidRDefault="00D72A38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</w:tbl>
    <w:p w:rsidR="0073756C" w:rsidRDefault="0073756C"/>
    <w:sectPr w:rsidR="0073756C" w:rsidSect="0073756C">
      <w:pgSz w:w="16850" w:h="11920" w:orient="landscape"/>
      <w:pgMar w:top="1100" w:right="76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A80439"/>
    <w:rsid w:val="001070C7"/>
    <w:rsid w:val="001F7FA7"/>
    <w:rsid w:val="002F6284"/>
    <w:rsid w:val="0073756C"/>
    <w:rsid w:val="007A658E"/>
    <w:rsid w:val="00A3214F"/>
    <w:rsid w:val="00A5200B"/>
    <w:rsid w:val="00A80439"/>
    <w:rsid w:val="00D72A38"/>
    <w:rsid w:val="00E85A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56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73756C"/>
    <w:pPr>
      <w:spacing w:before="19"/>
      <w:ind w:left="5681" w:right="5553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rsid w:val="0073756C"/>
    <w:pPr>
      <w:ind w:left="2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3756C"/>
  </w:style>
  <w:style w:type="paragraph" w:styleId="ListParagraph">
    <w:name w:val="List Paragraph"/>
    <w:basedOn w:val="Normal"/>
    <w:uiPriority w:val="1"/>
    <w:qFormat/>
    <w:rsid w:val="0073756C"/>
  </w:style>
  <w:style w:type="paragraph" w:customStyle="1" w:styleId="TableParagraph">
    <w:name w:val="Table Paragraph"/>
    <w:basedOn w:val="Normal"/>
    <w:uiPriority w:val="1"/>
    <w:qFormat/>
    <w:rsid w:val="0073756C"/>
    <w:pPr>
      <w:ind w:left="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395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3</cp:revision>
  <cp:lastPrinted>2022-10-27T10:26:00Z</cp:lastPrinted>
  <dcterms:created xsi:type="dcterms:W3CDTF">2022-10-27T10:15:00Z</dcterms:created>
  <dcterms:modified xsi:type="dcterms:W3CDTF">2022-10-27T10:28:00Z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2022-10-22T00:00:00Z</vt:filetime>
  </property>
</Properties>
</file>