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87A2" w14:textId="77777777" w:rsidR="00F5712E" w:rsidRDefault="00000000">
      <w:pPr>
        <w:spacing w:after="117" w:line="259" w:lineRule="auto"/>
        <w:ind w:left="0" w:firstLine="0"/>
        <w:jc w:val="left"/>
      </w:pPr>
      <w:r>
        <w:t xml:space="preserve"> </w:t>
      </w:r>
    </w:p>
    <w:p w14:paraId="2D132FAA" w14:textId="77777777" w:rsidR="00F5712E" w:rsidRDefault="00000000">
      <w:pPr>
        <w:spacing w:after="68" w:line="277" w:lineRule="auto"/>
        <w:ind w:left="3823" w:hanging="3578"/>
        <w:jc w:val="left"/>
      </w:pPr>
      <w:r>
        <w:rPr>
          <w:color w:val="000000"/>
          <w:sz w:val="36"/>
        </w:rPr>
        <w:t xml:space="preserve">Visualizing and Predicting Heart Diseases with an Interactive Dash Board </w:t>
      </w:r>
      <w:r>
        <w:rPr>
          <w:color w:val="000000"/>
          <w:sz w:val="22"/>
        </w:rPr>
        <w:t xml:space="preserve"> </w:t>
      </w:r>
    </w:p>
    <w:p w14:paraId="5418501E" w14:textId="2B011502" w:rsidR="00F5712E" w:rsidRDefault="00000000">
      <w:pPr>
        <w:spacing w:after="216" w:line="259" w:lineRule="auto"/>
        <w:ind w:left="0" w:right="1" w:firstLine="0"/>
        <w:jc w:val="center"/>
      </w:pPr>
      <w:r>
        <w:rPr>
          <w:color w:val="000000"/>
          <w:sz w:val="22"/>
        </w:rPr>
        <w:t>Team ID: PNT2022TMID</w:t>
      </w:r>
      <w:r w:rsidR="00531F76">
        <w:rPr>
          <w:color w:val="000000"/>
          <w:sz w:val="22"/>
        </w:rPr>
        <w:t>10044</w:t>
      </w:r>
    </w:p>
    <w:p w14:paraId="43C6740D" w14:textId="77777777" w:rsidR="00F5712E" w:rsidRDefault="00000000">
      <w:pPr>
        <w:spacing w:after="214" w:line="259" w:lineRule="auto"/>
        <w:ind w:left="0" w:firstLine="0"/>
        <w:jc w:val="left"/>
      </w:pPr>
      <w:r>
        <w:rPr>
          <w:color w:val="000000"/>
          <w:sz w:val="22"/>
        </w:rPr>
        <w:t xml:space="preserve"> </w:t>
      </w:r>
    </w:p>
    <w:p w14:paraId="2F5EF8CE" w14:textId="7D054801" w:rsidR="00F5712E" w:rsidRDefault="00000000">
      <w:pPr>
        <w:spacing w:after="178" w:line="259" w:lineRule="auto"/>
        <w:ind w:left="-5"/>
        <w:jc w:val="left"/>
      </w:pPr>
      <w:r>
        <w:rPr>
          <w:color w:val="000000"/>
          <w:sz w:val="22"/>
        </w:rPr>
        <w:t xml:space="preserve">Faculty Mentor:                                                                         Team </w:t>
      </w:r>
      <w:proofErr w:type="gramStart"/>
      <w:r>
        <w:rPr>
          <w:color w:val="000000"/>
          <w:sz w:val="22"/>
        </w:rPr>
        <w:t>Leader :</w:t>
      </w:r>
      <w:proofErr w:type="gramEnd"/>
      <w:r>
        <w:rPr>
          <w:color w:val="000000"/>
          <w:sz w:val="22"/>
        </w:rPr>
        <w:t xml:space="preserve"> </w:t>
      </w:r>
      <w:r w:rsidR="00531F76">
        <w:rPr>
          <w:color w:val="000000"/>
          <w:sz w:val="22"/>
        </w:rPr>
        <w:t>Sakthivel M</w:t>
      </w:r>
    </w:p>
    <w:p w14:paraId="697BC7C2" w14:textId="5ADE027C" w:rsidR="00F5712E" w:rsidRDefault="00000000">
      <w:pPr>
        <w:spacing w:after="208" w:line="259" w:lineRule="auto"/>
        <w:ind w:left="-5"/>
        <w:jc w:val="left"/>
      </w:pPr>
      <w:r>
        <w:rPr>
          <w:color w:val="000000"/>
          <w:sz w:val="22"/>
        </w:rPr>
        <w:t xml:space="preserve"> </w:t>
      </w:r>
      <w:r w:rsidR="00531F76">
        <w:rPr>
          <w:color w:val="000000"/>
          <w:sz w:val="22"/>
        </w:rPr>
        <w:t>T K P Rajagopal</w:t>
      </w:r>
      <w:r>
        <w:rPr>
          <w:color w:val="000000"/>
          <w:sz w:val="22"/>
        </w:rPr>
        <w:t xml:space="preserve">                                                                         Team </w:t>
      </w:r>
      <w:proofErr w:type="gramStart"/>
      <w:r>
        <w:rPr>
          <w:color w:val="000000"/>
          <w:sz w:val="22"/>
        </w:rPr>
        <w:t>Member :</w:t>
      </w:r>
      <w:proofErr w:type="gramEnd"/>
      <w:r>
        <w:rPr>
          <w:color w:val="000000"/>
          <w:sz w:val="22"/>
        </w:rPr>
        <w:t xml:space="preserve"> </w:t>
      </w:r>
      <w:r w:rsidR="00531F76">
        <w:rPr>
          <w:color w:val="000000"/>
          <w:sz w:val="22"/>
        </w:rPr>
        <w:t>Sadhana M</w:t>
      </w:r>
      <w:r>
        <w:rPr>
          <w:color w:val="000000"/>
          <w:sz w:val="22"/>
        </w:rPr>
        <w:t xml:space="preserve"> </w:t>
      </w:r>
    </w:p>
    <w:p w14:paraId="4CAB3DE9" w14:textId="02DB9E1A" w:rsidR="00F5712E" w:rsidRDefault="00000000">
      <w:pPr>
        <w:tabs>
          <w:tab w:val="center" w:pos="6733"/>
        </w:tabs>
        <w:spacing w:after="208" w:line="259" w:lineRule="auto"/>
        <w:ind w:left="-15" w:firstLine="0"/>
        <w:jc w:val="left"/>
      </w:pPr>
      <w:r>
        <w:rPr>
          <w:color w:val="000000"/>
          <w:sz w:val="22"/>
        </w:rPr>
        <w:t xml:space="preserve">                                                      </w:t>
      </w:r>
      <w:r w:rsidR="00531F76">
        <w:rPr>
          <w:color w:val="000000"/>
          <w:sz w:val="22"/>
        </w:rPr>
        <w:t xml:space="preserve">                                               </w:t>
      </w:r>
      <w:r>
        <w:rPr>
          <w:color w:val="000000"/>
          <w:sz w:val="22"/>
        </w:rPr>
        <w:t xml:space="preserve">Team </w:t>
      </w:r>
      <w:proofErr w:type="gramStart"/>
      <w:r>
        <w:rPr>
          <w:color w:val="000000"/>
          <w:sz w:val="22"/>
        </w:rPr>
        <w:t>Member :</w:t>
      </w:r>
      <w:proofErr w:type="gramEnd"/>
      <w:r>
        <w:rPr>
          <w:color w:val="000000"/>
          <w:sz w:val="22"/>
        </w:rPr>
        <w:t xml:space="preserve"> </w:t>
      </w:r>
      <w:r w:rsidR="00531F76">
        <w:rPr>
          <w:color w:val="000000"/>
          <w:sz w:val="22"/>
        </w:rPr>
        <w:t>Sirisha G</w:t>
      </w:r>
      <w:r>
        <w:rPr>
          <w:color w:val="000000"/>
          <w:sz w:val="22"/>
        </w:rPr>
        <w:t xml:space="preserve"> </w:t>
      </w:r>
    </w:p>
    <w:p w14:paraId="6072E4B7" w14:textId="4D17847A" w:rsidR="00F5712E" w:rsidRDefault="00000000">
      <w:pPr>
        <w:tabs>
          <w:tab w:val="center" w:pos="6946"/>
        </w:tabs>
        <w:spacing w:after="247" w:line="259" w:lineRule="auto"/>
        <w:ind w:left="-15" w:firstLine="0"/>
        <w:jc w:val="left"/>
      </w:pPr>
      <w:r>
        <w:rPr>
          <w:color w:val="000000"/>
          <w:sz w:val="22"/>
        </w:rPr>
        <w:t xml:space="preserve"> </w:t>
      </w:r>
      <w:r w:rsidR="00531F76">
        <w:rPr>
          <w:color w:val="000000"/>
          <w:sz w:val="22"/>
        </w:rPr>
        <w:t xml:space="preserve">                                                                                                   </w:t>
      </w:r>
      <w:r>
        <w:rPr>
          <w:color w:val="000000"/>
          <w:sz w:val="22"/>
        </w:rPr>
        <w:t xml:space="preserve">Team </w:t>
      </w:r>
      <w:proofErr w:type="gramStart"/>
      <w:r>
        <w:rPr>
          <w:color w:val="000000"/>
          <w:sz w:val="22"/>
        </w:rPr>
        <w:t>Member :</w:t>
      </w:r>
      <w:proofErr w:type="gramEnd"/>
      <w:r>
        <w:rPr>
          <w:color w:val="000000"/>
          <w:sz w:val="22"/>
        </w:rPr>
        <w:t xml:space="preserve"> </w:t>
      </w:r>
      <w:r w:rsidR="00531F76">
        <w:rPr>
          <w:color w:val="000000"/>
          <w:sz w:val="22"/>
        </w:rPr>
        <w:t>Sneha Bharathi V</w:t>
      </w:r>
    </w:p>
    <w:p w14:paraId="32BD2EDA" w14:textId="06871A9A" w:rsidR="00F5712E" w:rsidRDefault="00000000">
      <w:pPr>
        <w:tabs>
          <w:tab w:val="center" w:pos="6709"/>
        </w:tabs>
        <w:spacing w:after="354" w:line="259" w:lineRule="auto"/>
        <w:ind w:left="-15" w:firstLine="0"/>
        <w:jc w:val="left"/>
      </w:pPr>
      <w:r>
        <w:rPr>
          <w:color w:val="000000"/>
          <w:sz w:val="22"/>
        </w:rPr>
        <w:t xml:space="preserve"> </w:t>
      </w:r>
      <w:r>
        <w:rPr>
          <w:color w:val="000000"/>
          <w:sz w:val="22"/>
        </w:rPr>
        <w:tab/>
      </w:r>
    </w:p>
    <w:p w14:paraId="1EBB2A07" w14:textId="77777777" w:rsidR="00F5712E" w:rsidRDefault="00000000">
      <w:pPr>
        <w:spacing w:after="0" w:line="259" w:lineRule="auto"/>
        <w:ind w:left="0" w:firstLine="0"/>
        <w:jc w:val="left"/>
      </w:pPr>
      <w:r>
        <w:t xml:space="preserve"> </w:t>
      </w:r>
      <w:r>
        <w:tab/>
        <w:t xml:space="preserve"> </w:t>
      </w:r>
      <w:r>
        <w:br w:type="page"/>
      </w:r>
    </w:p>
    <w:p w14:paraId="0D48174D" w14:textId="77777777" w:rsidR="00F5712E" w:rsidRDefault="00000000">
      <w:pPr>
        <w:spacing w:after="81" w:line="259" w:lineRule="auto"/>
        <w:ind w:left="0" w:firstLine="0"/>
        <w:jc w:val="left"/>
      </w:pPr>
      <w:r>
        <w:lastRenderedPageBreak/>
        <w:t xml:space="preserve">IBM Cloud: </w:t>
      </w:r>
    </w:p>
    <w:p w14:paraId="21B2A6C3" w14:textId="77777777" w:rsidR="00F5712E" w:rsidRDefault="00000000">
      <w:pPr>
        <w:spacing w:after="91" w:line="259" w:lineRule="auto"/>
        <w:ind w:left="0" w:firstLine="0"/>
        <w:jc w:val="left"/>
      </w:pPr>
      <w:r>
        <w:t xml:space="preserve"> </w:t>
      </w:r>
    </w:p>
    <w:p w14:paraId="5DB44CBF" w14:textId="77777777" w:rsidR="00F5712E" w:rsidRDefault="00000000">
      <w:pPr>
        <w:spacing w:after="89" w:line="259" w:lineRule="auto"/>
        <w:ind w:left="0" w:firstLine="0"/>
        <w:jc w:val="left"/>
      </w:pPr>
      <w:r>
        <w:t xml:space="preserve"> </w:t>
      </w:r>
    </w:p>
    <w:p w14:paraId="68F12748" w14:textId="77777777" w:rsidR="00F5712E" w:rsidRDefault="00000000">
      <w:pPr>
        <w:ind w:left="19"/>
      </w:pPr>
      <w:r>
        <w:t xml:space="preserve">IBM offers three hardware platforms for cloud computing. These platforms offer built-in support for </w:t>
      </w:r>
      <w:r>
        <w:rPr>
          <w:color w:val="0645AD"/>
        </w:rPr>
        <w:t>virtualization</w:t>
      </w:r>
      <w:r>
        <w:t xml:space="preserve">. IBM also offers a </w:t>
      </w:r>
      <w:r>
        <w:rPr>
          <w:color w:val="0645AD"/>
        </w:rPr>
        <w:t>virtualization</w:t>
      </w:r>
      <w:r>
        <w:t xml:space="preserve"> application infrastructure, </w:t>
      </w:r>
      <w:r>
        <w:rPr>
          <w:color w:val="0645AD"/>
        </w:rPr>
        <w:t>Web sphere</w:t>
      </w:r>
      <w:r>
        <w:t xml:space="preserve">, which supports programming models and open standards for virtualization. </w:t>
      </w:r>
    </w:p>
    <w:p w14:paraId="067CE494" w14:textId="77777777" w:rsidR="00F5712E" w:rsidRDefault="00000000">
      <w:pPr>
        <w:spacing w:after="91" w:line="259" w:lineRule="auto"/>
        <w:ind w:left="0" w:firstLine="0"/>
        <w:jc w:val="left"/>
      </w:pPr>
      <w:r>
        <w:t xml:space="preserve"> </w:t>
      </w:r>
    </w:p>
    <w:p w14:paraId="0059B911" w14:textId="77777777" w:rsidR="00F5712E" w:rsidRDefault="00000000">
      <w:pPr>
        <w:ind w:left="19"/>
      </w:pPr>
      <w:r>
        <w:t xml:space="preserve">The management layer of the IBM cloud framework includes IBM </w:t>
      </w:r>
      <w:r>
        <w:rPr>
          <w:color w:val="0645AD"/>
        </w:rPr>
        <w:t>Tivoli</w:t>
      </w:r>
      <w:r>
        <w:t xml:space="preserve"> middleware. Management tools provide capabilities to regulate images with automated </w:t>
      </w:r>
      <w:r>
        <w:rPr>
          <w:color w:val="0645AD"/>
        </w:rPr>
        <w:t>provisioning</w:t>
      </w:r>
      <w:r>
        <w:t xml:space="preserve"> and de-provisioning, monitor operations and meter usage while tracking costs and allocating billing. The last layer of the framework provides integrated workload tools. Workloads (in the context of cloud computing) are services or instances of code that can be executed to meet specific business needs. IBM also offers tools for </w:t>
      </w:r>
      <w:proofErr w:type="gramStart"/>
      <w:r>
        <w:t>cloud based</w:t>
      </w:r>
      <w:proofErr w:type="gramEnd"/>
      <w:r>
        <w:t xml:space="preserve"> collaboration, development and testing, application development, analytics, business-to-business integration, and security.  </w:t>
      </w:r>
    </w:p>
    <w:p w14:paraId="0D1D769A" w14:textId="77777777" w:rsidR="00F5712E" w:rsidRDefault="00000000">
      <w:pPr>
        <w:spacing w:after="89" w:line="259" w:lineRule="auto"/>
        <w:ind w:left="0" w:firstLine="0"/>
        <w:jc w:val="left"/>
      </w:pPr>
      <w:r>
        <w:t xml:space="preserve"> </w:t>
      </w:r>
    </w:p>
    <w:p w14:paraId="3E5BB8FB" w14:textId="77777777" w:rsidR="00F5712E" w:rsidRDefault="00000000">
      <w:pPr>
        <w:ind w:left="19"/>
      </w:pPr>
      <w:r>
        <w:t xml:space="preserve">The IBM </w:t>
      </w:r>
      <w:proofErr w:type="spellStart"/>
      <w:r>
        <w:t>SmartCloud</w:t>
      </w:r>
      <w:proofErr w:type="spellEnd"/>
      <w:r>
        <w:t xml:space="preserve"> brand includes three primary services: the infrastructure, software, and platform services, each of which is offered through public, private and hybrid cloud delivery models. IBM places these offerings under three umbrellas: the </w:t>
      </w:r>
      <w:proofErr w:type="spellStart"/>
      <w:r>
        <w:t>SmartCloud</w:t>
      </w:r>
      <w:proofErr w:type="spellEnd"/>
      <w:r>
        <w:t xml:space="preserve"> Foundation, </w:t>
      </w:r>
      <w:proofErr w:type="spellStart"/>
      <w:r>
        <w:t>SmartCloud</w:t>
      </w:r>
      <w:proofErr w:type="spellEnd"/>
      <w:r>
        <w:t xml:space="preserve"> Services and </w:t>
      </w:r>
      <w:proofErr w:type="spellStart"/>
      <w:r>
        <w:t>SmartCloud</w:t>
      </w:r>
      <w:proofErr w:type="spellEnd"/>
      <w:r>
        <w:t xml:space="preserve"> Solutions.  </w:t>
      </w:r>
    </w:p>
    <w:p w14:paraId="5FD43E87" w14:textId="77777777" w:rsidR="00F5712E" w:rsidRDefault="00000000">
      <w:pPr>
        <w:spacing w:after="89" w:line="259" w:lineRule="auto"/>
        <w:ind w:left="0" w:firstLine="0"/>
        <w:jc w:val="left"/>
      </w:pPr>
      <w:r>
        <w:t xml:space="preserve"> </w:t>
      </w:r>
    </w:p>
    <w:p w14:paraId="6C6FAB4A" w14:textId="77777777" w:rsidR="00F5712E" w:rsidRDefault="00000000">
      <w:pPr>
        <w:ind w:left="19"/>
      </w:pPr>
      <w:r>
        <w:t xml:space="preserve">The </w:t>
      </w:r>
      <w:proofErr w:type="spellStart"/>
      <w:r>
        <w:t>SmartCloud</w:t>
      </w:r>
      <w:proofErr w:type="spellEnd"/>
      <w:r>
        <w:t xml:space="preserve"> Foundation consists of the infrastructure, hardware, provisioning, management, integration and security that serve as the underpinnings of a private or hybrid cloud. Built using those foundational components, PaaS, IaaS and backup services make up </w:t>
      </w:r>
      <w:proofErr w:type="spellStart"/>
      <w:r>
        <w:t>SmartCloud</w:t>
      </w:r>
      <w:proofErr w:type="spellEnd"/>
      <w:r>
        <w:t xml:space="preserve"> Services. Running on this cloud platform and infrastructure, </w:t>
      </w:r>
      <w:proofErr w:type="spellStart"/>
      <w:r>
        <w:t>SmartCloud</w:t>
      </w:r>
      <w:proofErr w:type="spellEnd"/>
      <w:r>
        <w:t xml:space="preserve"> Solutions consist of a number of collaboration, analytics and marketing SaaS applications. </w:t>
      </w:r>
    </w:p>
    <w:p w14:paraId="130B2574" w14:textId="77777777" w:rsidR="00F5712E" w:rsidRDefault="00000000">
      <w:pPr>
        <w:spacing w:after="89" w:line="259" w:lineRule="auto"/>
        <w:ind w:left="0" w:firstLine="0"/>
        <w:jc w:val="left"/>
      </w:pPr>
      <w:r>
        <w:lastRenderedPageBreak/>
        <w:t xml:space="preserve"> </w:t>
      </w:r>
    </w:p>
    <w:p w14:paraId="2DA89873" w14:textId="77777777" w:rsidR="00F5712E" w:rsidRDefault="00000000">
      <w:pPr>
        <w:ind w:left="19"/>
      </w:pPr>
      <w:r>
        <w:t xml:space="preserve">IBM also builds cloud environments for clients that are not necessarily on the </w:t>
      </w:r>
      <w:proofErr w:type="spellStart"/>
      <w:r>
        <w:t>SmartCloud</w:t>
      </w:r>
      <w:proofErr w:type="spellEnd"/>
      <w:r>
        <w:t xml:space="preserve"> Platform. For example, features of the </w:t>
      </w:r>
      <w:proofErr w:type="spellStart"/>
      <w:r>
        <w:t>SmartCloud</w:t>
      </w:r>
      <w:proofErr w:type="spellEnd"/>
      <w:r>
        <w:t xml:space="preserve"> platform—such as Tivoli management software or IBM Systems Director virtualization—can be integrated separately as part of a </w:t>
      </w:r>
      <w:proofErr w:type="spellStart"/>
      <w:r>
        <w:t>nonIBM</w:t>
      </w:r>
      <w:proofErr w:type="spellEnd"/>
      <w:r>
        <w:t xml:space="preserve"> cloud platform. The </w:t>
      </w:r>
      <w:proofErr w:type="spellStart"/>
      <w:r>
        <w:t>SmartCloud</w:t>
      </w:r>
      <w:proofErr w:type="spellEnd"/>
      <w:r>
        <w:t xml:space="preserve"> platform consists solely of IBM hardware, software, services and practices. </w:t>
      </w:r>
    </w:p>
    <w:p w14:paraId="37ED4E4B" w14:textId="77777777" w:rsidR="00F5712E" w:rsidRDefault="00000000">
      <w:pPr>
        <w:spacing w:after="91" w:line="259" w:lineRule="auto"/>
        <w:ind w:left="0" w:firstLine="0"/>
        <w:jc w:val="left"/>
      </w:pPr>
      <w:r>
        <w:t xml:space="preserve"> </w:t>
      </w:r>
    </w:p>
    <w:p w14:paraId="25E156E9" w14:textId="77777777" w:rsidR="00F5712E" w:rsidRDefault="00000000">
      <w:pPr>
        <w:ind w:left="19"/>
      </w:pPr>
      <w:r>
        <w:t xml:space="preserve">IBM </w:t>
      </w:r>
      <w:proofErr w:type="spellStart"/>
      <w:r>
        <w:t>SmartCloud</w:t>
      </w:r>
      <w:proofErr w:type="spellEnd"/>
      <w:r>
        <w:t xml:space="preserve"> Enterprise and </w:t>
      </w:r>
      <w:proofErr w:type="spellStart"/>
      <w:r>
        <w:t>SmartCloud</w:t>
      </w:r>
      <w:proofErr w:type="spellEnd"/>
      <w:r>
        <w:t xml:space="preserve"> Enterprise+ are designed to compete with products like those of </w:t>
      </w:r>
      <w:proofErr w:type="spellStart"/>
      <w:r>
        <w:rPr>
          <w:color w:val="0645AD"/>
        </w:rPr>
        <w:t>Rackspace</w:t>
      </w:r>
      <w:proofErr w:type="spellEnd"/>
      <w:r>
        <w:t xml:space="preserve"> and </w:t>
      </w:r>
      <w:r>
        <w:rPr>
          <w:color w:val="0645AD"/>
        </w:rPr>
        <w:t>Amazon Web Services</w:t>
      </w:r>
      <w:r>
        <w:t xml:space="preserve">. Erich Clementi, vice president of Global Technology Services at IBM, said in 2012 that the goal with </w:t>
      </w:r>
      <w:proofErr w:type="spellStart"/>
      <w:r>
        <w:t>SmartCloud</w:t>
      </w:r>
      <w:proofErr w:type="spellEnd"/>
      <w:r>
        <w:t xml:space="preserve"> Enterprise and </w:t>
      </w:r>
      <w:proofErr w:type="spellStart"/>
      <w:r>
        <w:t>SmartCloud</w:t>
      </w:r>
      <w:proofErr w:type="spellEnd"/>
      <w:r>
        <w:t xml:space="preserve"> Enterprise+ was to provide an </w:t>
      </w:r>
      <w:r>
        <w:rPr>
          <w:color w:val="0645AD"/>
        </w:rPr>
        <w:t>Amazon EC2</w:t>
      </w:r>
      <w:r>
        <w:t xml:space="preserve">-like experience primarily for test and development purposes and to provide a more robust experience for production workloads.  </w:t>
      </w:r>
    </w:p>
    <w:p w14:paraId="50CFDCF2" w14:textId="77777777" w:rsidR="00F5712E" w:rsidRDefault="00000000">
      <w:pPr>
        <w:spacing w:after="89" w:line="259" w:lineRule="auto"/>
        <w:ind w:left="0" w:firstLine="0"/>
        <w:jc w:val="left"/>
      </w:pPr>
      <w:r>
        <w:t xml:space="preserve"> </w:t>
      </w:r>
    </w:p>
    <w:p w14:paraId="515C0183" w14:textId="77777777" w:rsidR="00F5712E" w:rsidRDefault="00000000">
      <w:pPr>
        <w:spacing w:after="14"/>
        <w:ind w:left="19"/>
      </w:pPr>
      <w:r>
        <w:t xml:space="preserve">In 2011, IBM </w:t>
      </w:r>
      <w:proofErr w:type="spellStart"/>
      <w:r>
        <w:t>SmartCloud</w:t>
      </w:r>
      <w:proofErr w:type="spellEnd"/>
      <w:r>
        <w:t xml:space="preserve"> integrated </w:t>
      </w:r>
      <w:r>
        <w:rPr>
          <w:color w:val="0645AD"/>
        </w:rPr>
        <w:t>Hadoop</w:t>
      </w:r>
      <w:r>
        <w:t xml:space="preserve">-based </w:t>
      </w:r>
      <w:proofErr w:type="spellStart"/>
      <w:r>
        <w:t>InfoSphere</w:t>
      </w:r>
      <w:proofErr w:type="spellEnd"/>
      <w:r>
        <w:t xml:space="preserve"> </w:t>
      </w:r>
    </w:p>
    <w:p w14:paraId="51B2D103" w14:textId="77777777" w:rsidR="00F5712E" w:rsidRDefault="00000000">
      <w:pPr>
        <w:spacing w:after="0"/>
        <w:ind w:left="19"/>
      </w:pPr>
      <w:proofErr w:type="spellStart"/>
      <w:r>
        <w:t>BigInsights</w:t>
      </w:r>
      <w:proofErr w:type="spellEnd"/>
      <w:r>
        <w:t xml:space="preserve"> for big data, Green Hat for software testing and </w:t>
      </w:r>
      <w:proofErr w:type="spellStart"/>
      <w:r>
        <w:rPr>
          <w:color w:val="0645AD"/>
        </w:rPr>
        <w:t>Nirvanix</w:t>
      </w:r>
      <w:proofErr w:type="spellEnd"/>
      <w:r>
        <w:t xml:space="preserve"> for cloud storage. In 2012, the then new CEO </w:t>
      </w:r>
      <w:r>
        <w:rPr>
          <w:color w:val="0645AD"/>
        </w:rPr>
        <w:t>Virginia Rometty</w:t>
      </w:r>
      <w:r>
        <w:t xml:space="preserve"> said the company planned to spend $20 billion on acquisitions by 2015</w:t>
      </w:r>
      <w:r>
        <w:rPr>
          <w:sz w:val="19"/>
        </w:rPr>
        <w:t>.</w:t>
      </w:r>
      <w:r>
        <w:rPr>
          <w:sz w:val="15"/>
          <w:vertAlign w:val="superscript"/>
        </w:rPr>
        <w:t xml:space="preserve"> </w:t>
      </w:r>
    </w:p>
    <w:p w14:paraId="5409326F" w14:textId="77777777" w:rsidR="00F5712E" w:rsidRDefault="00000000">
      <w:pPr>
        <w:spacing w:after="167" w:line="259" w:lineRule="auto"/>
        <w:ind w:left="0" w:firstLine="0"/>
        <w:jc w:val="left"/>
      </w:pPr>
      <w:r>
        <w:rPr>
          <w:sz w:val="10"/>
        </w:rPr>
        <w:t xml:space="preserve"> </w:t>
      </w:r>
    </w:p>
    <w:p w14:paraId="7FE0BE10" w14:textId="77777777" w:rsidR="00F5712E" w:rsidRDefault="00000000">
      <w:pPr>
        <w:spacing w:after="167" w:line="259" w:lineRule="auto"/>
        <w:ind w:left="0" w:firstLine="0"/>
        <w:jc w:val="left"/>
      </w:pPr>
      <w:r>
        <w:rPr>
          <w:sz w:val="10"/>
        </w:rPr>
        <w:t xml:space="preserve"> </w:t>
      </w:r>
    </w:p>
    <w:p w14:paraId="6BE861AC" w14:textId="77777777" w:rsidR="00F5712E" w:rsidRDefault="00000000">
      <w:pPr>
        <w:spacing w:after="167" w:line="259" w:lineRule="auto"/>
        <w:ind w:left="0" w:firstLine="0"/>
        <w:jc w:val="left"/>
      </w:pPr>
      <w:r>
        <w:rPr>
          <w:sz w:val="10"/>
        </w:rPr>
        <w:t xml:space="preserve"> </w:t>
      </w:r>
    </w:p>
    <w:p w14:paraId="4CF7F90C" w14:textId="77777777" w:rsidR="00F5712E" w:rsidRDefault="00000000">
      <w:pPr>
        <w:spacing w:after="167" w:line="259" w:lineRule="auto"/>
        <w:ind w:left="0" w:firstLine="0"/>
        <w:jc w:val="left"/>
      </w:pPr>
      <w:r>
        <w:rPr>
          <w:sz w:val="10"/>
        </w:rPr>
        <w:t xml:space="preserve"> </w:t>
      </w:r>
    </w:p>
    <w:p w14:paraId="601A1B0C" w14:textId="77777777" w:rsidR="00F5712E" w:rsidRDefault="00000000">
      <w:pPr>
        <w:spacing w:after="167" w:line="259" w:lineRule="auto"/>
        <w:ind w:left="0" w:firstLine="0"/>
        <w:jc w:val="left"/>
      </w:pPr>
      <w:r>
        <w:rPr>
          <w:sz w:val="10"/>
        </w:rPr>
        <w:t xml:space="preserve"> </w:t>
      </w:r>
    </w:p>
    <w:p w14:paraId="648C8575" w14:textId="77777777" w:rsidR="00F5712E" w:rsidRDefault="00000000">
      <w:pPr>
        <w:spacing w:after="167" w:line="259" w:lineRule="auto"/>
        <w:ind w:left="0" w:firstLine="0"/>
        <w:jc w:val="left"/>
      </w:pPr>
      <w:r>
        <w:rPr>
          <w:sz w:val="10"/>
        </w:rPr>
        <w:t xml:space="preserve"> </w:t>
      </w:r>
    </w:p>
    <w:p w14:paraId="7DE8BB22" w14:textId="77777777" w:rsidR="00F5712E" w:rsidRDefault="00000000">
      <w:pPr>
        <w:spacing w:after="165" w:line="259" w:lineRule="auto"/>
        <w:ind w:left="0" w:firstLine="0"/>
        <w:jc w:val="left"/>
      </w:pPr>
      <w:r>
        <w:rPr>
          <w:sz w:val="10"/>
        </w:rPr>
        <w:t xml:space="preserve"> </w:t>
      </w:r>
    </w:p>
    <w:p w14:paraId="645FFB30" w14:textId="77777777" w:rsidR="00F5712E" w:rsidRDefault="00000000">
      <w:pPr>
        <w:spacing w:after="167" w:line="259" w:lineRule="auto"/>
        <w:ind w:left="0" w:firstLine="0"/>
        <w:jc w:val="left"/>
      </w:pPr>
      <w:r>
        <w:rPr>
          <w:sz w:val="10"/>
        </w:rPr>
        <w:t xml:space="preserve"> </w:t>
      </w:r>
    </w:p>
    <w:p w14:paraId="513459BF" w14:textId="77777777" w:rsidR="00F5712E" w:rsidRDefault="00000000">
      <w:pPr>
        <w:spacing w:after="167" w:line="259" w:lineRule="auto"/>
        <w:ind w:left="0" w:firstLine="0"/>
        <w:jc w:val="left"/>
      </w:pPr>
      <w:r>
        <w:rPr>
          <w:sz w:val="10"/>
        </w:rPr>
        <w:lastRenderedPageBreak/>
        <w:t xml:space="preserve"> </w:t>
      </w:r>
    </w:p>
    <w:p w14:paraId="6063D125" w14:textId="77777777" w:rsidR="00F5712E" w:rsidRDefault="00000000">
      <w:pPr>
        <w:spacing w:after="277" w:line="259" w:lineRule="auto"/>
        <w:ind w:left="0" w:firstLine="0"/>
        <w:jc w:val="left"/>
      </w:pPr>
      <w:r>
        <w:rPr>
          <w:sz w:val="10"/>
        </w:rPr>
        <w:t xml:space="preserve"> </w:t>
      </w:r>
    </w:p>
    <w:p w14:paraId="705B73B2" w14:textId="77777777" w:rsidR="00F5712E" w:rsidRDefault="00000000">
      <w:pPr>
        <w:spacing w:after="214" w:line="259" w:lineRule="auto"/>
        <w:ind w:left="0" w:firstLine="0"/>
        <w:jc w:val="left"/>
      </w:pPr>
      <w:r>
        <w:rPr>
          <w:sz w:val="19"/>
        </w:rPr>
        <w:t xml:space="preserve">  </w:t>
      </w:r>
    </w:p>
    <w:p w14:paraId="7F726C25" w14:textId="77777777" w:rsidR="00F5712E" w:rsidRDefault="00000000">
      <w:pPr>
        <w:spacing w:after="247" w:line="259" w:lineRule="auto"/>
        <w:ind w:left="0" w:firstLine="0"/>
        <w:jc w:val="left"/>
      </w:pPr>
      <w:r>
        <w:t xml:space="preserve"> </w:t>
      </w:r>
    </w:p>
    <w:p w14:paraId="63ABCAA4" w14:textId="77777777" w:rsidR="00F5712E" w:rsidRDefault="00000000">
      <w:pPr>
        <w:spacing w:after="0" w:line="259" w:lineRule="auto"/>
        <w:ind w:left="384" w:firstLine="0"/>
        <w:jc w:val="left"/>
      </w:pPr>
      <w:r>
        <w:t xml:space="preserve"> </w:t>
      </w:r>
    </w:p>
    <w:p w14:paraId="5089D184" w14:textId="77777777" w:rsidR="00F5712E" w:rsidRDefault="00000000">
      <w:pPr>
        <w:spacing w:after="251" w:line="259" w:lineRule="auto"/>
        <w:ind w:left="0" w:firstLine="0"/>
        <w:jc w:val="left"/>
      </w:pPr>
      <w:r>
        <w:t xml:space="preserve"> </w:t>
      </w:r>
    </w:p>
    <w:p w14:paraId="523789EC" w14:textId="77777777" w:rsidR="00F5712E" w:rsidRDefault="00000000">
      <w:pPr>
        <w:numPr>
          <w:ilvl w:val="0"/>
          <w:numId w:val="1"/>
        </w:numPr>
        <w:spacing w:after="14"/>
        <w:ind w:hanging="360"/>
      </w:pPr>
      <w:r>
        <w:t xml:space="preserve">Private cloud, owned and operated by the customer </w:t>
      </w:r>
    </w:p>
    <w:p w14:paraId="37B2FBD3" w14:textId="77777777" w:rsidR="00F5712E" w:rsidRDefault="00000000">
      <w:pPr>
        <w:numPr>
          <w:ilvl w:val="0"/>
          <w:numId w:val="1"/>
        </w:numPr>
        <w:spacing w:after="11"/>
        <w:ind w:hanging="360"/>
      </w:pPr>
      <w:r>
        <w:t xml:space="preserve">Private cloud, owned by the customer, but operated by IBM (or another provider) </w:t>
      </w:r>
    </w:p>
    <w:p w14:paraId="6873A65E" w14:textId="77777777" w:rsidR="00F5712E" w:rsidRDefault="00000000">
      <w:pPr>
        <w:numPr>
          <w:ilvl w:val="0"/>
          <w:numId w:val="1"/>
        </w:numPr>
        <w:spacing w:after="14"/>
        <w:ind w:hanging="360"/>
      </w:pPr>
      <w:r>
        <w:t xml:space="preserve">Private cloud, owned and operated by IBM (or another provider) </w:t>
      </w:r>
    </w:p>
    <w:p w14:paraId="37C24063" w14:textId="77777777" w:rsidR="00F5712E" w:rsidRDefault="00000000">
      <w:pPr>
        <w:numPr>
          <w:ilvl w:val="0"/>
          <w:numId w:val="1"/>
        </w:numPr>
        <w:spacing w:after="12"/>
        <w:ind w:hanging="360"/>
      </w:pPr>
      <w:r>
        <w:t xml:space="preserve">Virtual private cloud services (based on multi-tenanted support for individual enterprises) </w:t>
      </w:r>
    </w:p>
    <w:p w14:paraId="322CE072" w14:textId="77777777" w:rsidR="00F5712E" w:rsidRDefault="00000000">
      <w:pPr>
        <w:numPr>
          <w:ilvl w:val="0"/>
          <w:numId w:val="1"/>
        </w:numPr>
        <w:spacing w:after="73"/>
        <w:ind w:hanging="360"/>
      </w:pPr>
      <w:r>
        <w:t xml:space="preserve">Public cloud services (based on the provision of functions to individuals) </w:t>
      </w:r>
    </w:p>
    <w:p w14:paraId="7EAB3E04" w14:textId="77777777" w:rsidR="00F5712E" w:rsidRDefault="00000000">
      <w:pPr>
        <w:spacing w:after="127" w:line="259" w:lineRule="auto"/>
        <w:ind w:left="0" w:firstLine="0"/>
        <w:jc w:val="left"/>
      </w:pPr>
      <w:r>
        <w:rPr>
          <w:sz w:val="28"/>
        </w:rPr>
        <w:t xml:space="preserve"> </w:t>
      </w:r>
    </w:p>
    <w:p w14:paraId="0A772009" w14:textId="77777777" w:rsidR="00F5712E" w:rsidRDefault="00000000">
      <w:pPr>
        <w:ind w:left="19"/>
      </w:pPr>
      <w:r>
        <w:t xml:space="preserve">The majority of cloud users choose a hybrid cloud model, with some workloads being served by internal systems, some from commercial cloud providers and some from public cloud service providers.  </w:t>
      </w:r>
    </w:p>
    <w:p w14:paraId="1714A10F" w14:textId="77777777" w:rsidR="00F5712E" w:rsidRDefault="00000000">
      <w:pPr>
        <w:spacing w:after="89" w:line="259" w:lineRule="auto"/>
        <w:ind w:left="0" w:firstLine="0"/>
        <w:jc w:val="left"/>
      </w:pPr>
      <w:r>
        <w:t xml:space="preserve"> </w:t>
      </w:r>
    </w:p>
    <w:p w14:paraId="0D73813D" w14:textId="77777777" w:rsidR="00F5712E" w:rsidRDefault="00000000">
      <w:pPr>
        <w:ind w:left="19"/>
      </w:pPr>
      <w:r>
        <w:t xml:space="preserve">On August 25, 2011, IBM announced the release of a new hybrid cloud model orchestrated by </w:t>
      </w:r>
      <w:r>
        <w:rPr>
          <w:color w:val="0645AD"/>
        </w:rPr>
        <w:t>IBM WebSphere</w:t>
      </w:r>
      <w:r>
        <w:t xml:space="preserve"> Cast Iron integration of on- and off-premises resources. Enterprises can use Cast Iron integration to link their public cloud appliances— hosted on environments like </w:t>
      </w:r>
      <w:r>
        <w:rPr>
          <w:color w:val="0645AD"/>
        </w:rPr>
        <w:t>Amazon EC2</w:t>
      </w:r>
      <w:r>
        <w:t xml:space="preserve">, </w:t>
      </w:r>
      <w:r>
        <w:rPr>
          <w:color w:val="0645AD"/>
        </w:rPr>
        <w:t>Google Apps</w:t>
      </w:r>
      <w:r>
        <w:t xml:space="preserve">, </w:t>
      </w:r>
      <w:r>
        <w:rPr>
          <w:color w:val="0645AD"/>
        </w:rPr>
        <w:t>Salesforce.com</w:t>
      </w:r>
      <w:r>
        <w:t xml:space="preserve">, </w:t>
      </w:r>
      <w:r>
        <w:rPr>
          <w:color w:val="0645AD"/>
        </w:rPr>
        <w:t>Oracle CRM</w:t>
      </w:r>
      <w:r>
        <w:t xml:space="preserve">, </w:t>
      </w:r>
      <w:r>
        <w:rPr>
          <w:color w:val="0645AD"/>
        </w:rPr>
        <w:t>SugarCRM</w:t>
      </w:r>
      <w:r>
        <w:t xml:space="preserve"> and a number of others—to their existing systems or in-house, private cloud environments. Cast Iron Integration aims to reduce the time and effort needed for customized coding, in </w:t>
      </w:r>
      <w:proofErr w:type="spellStart"/>
      <w:r>
        <w:t>favor</w:t>
      </w:r>
      <w:proofErr w:type="spellEnd"/>
      <w:r>
        <w:t xml:space="preserve"> of simple workload provisioning through </w:t>
      </w:r>
      <w:r>
        <w:rPr>
          <w:color w:val="0645AD"/>
        </w:rPr>
        <w:t>Tivoli Management Framework</w:t>
      </w:r>
      <w:r>
        <w:t xml:space="preserve">.  </w:t>
      </w:r>
    </w:p>
    <w:p w14:paraId="2331AAE6" w14:textId="77777777" w:rsidR="00F5712E" w:rsidRDefault="00000000">
      <w:pPr>
        <w:spacing w:after="89" w:line="259" w:lineRule="auto"/>
        <w:ind w:left="0" w:firstLine="0"/>
        <w:jc w:val="left"/>
      </w:pPr>
      <w:r>
        <w:lastRenderedPageBreak/>
        <w:t xml:space="preserve"> </w:t>
      </w:r>
    </w:p>
    <w:p w14:paraId="4375F3B3" w14:textId="77777777" w:rsidR="00F5712E" w:rsidRDefault="00000000">
      <w:pPr>
        <w:spacing w:after="73"/>
        <w:ind w:left="19"/>
      </w:pPr>
      <w:r>
        <w:t xml:space="preserve">The IBM public cloud offering, </w:t>
      </w:r>
      <w:proofErr w:type="spellStart"/>
      <w:r>
        <w:t>SmartCloud</w:t>
      </w:r>
      <w:proofErr w:type="spellEnd"/>
      <w:r>
        <w:t xml:space="preserve"> Enterprise, was launched on April 7, 2011. SCE is hosted IaaS with </w:t>
      </w:r>
      <w:r>
        <w:rPr>
          <w:color w:val="0645AD"/>
        </w:rPr>
        <w:t>service level agreements</w:t>
      </w:r>
      <w:r>
        <w:t xml:space="preserve"> (SLA)s, and can be offered in a private, public or hybrid model. The environment is hosted on IBM servers (System p or System x), with a standard set of software images to choose from</w:t>
      </w:r>
      <w:r>
        <w:rPr>
          <w:sz w:val="28"/>
        </w:rPr>
        <w:t xml:space="preserve">. </w:t>
      </w:r>
    </w:p>
    <w:p w14:paraId="1F12F212" w14:textId="77777777" w:rsidR="00F5712E" w:rsidRDefault="00000000">
      <w:pPr>
        <w:spacing w:after="0" w:line="259" w:lineRule="auto"/>
        <w:ind w:left="0" w:firstLine="0"/>
        <w:jc w:val="left"/>
      </w:pPr>
      <w:r>
        <w:rPr>
          <w:sz w:val="28"/>
        </w:rPr>
        <w:t xml:space="preserve"> </w:t>
      </w:r>
    </w:p>
    <w:p w14:paraId="34DD606D" w14:textId="77777777" w:rsidR="00F5712E" w:rsidRDefault="00000000">
      <w:pPr>
        <w:ind w:left="19"/>
      </w:pPr>
      <w:r>
        <w:t xml:space="preserve">IBM participates in several cloud standards initiatives within various standards development organizations involved in cloud service models IaaS, PaaS and SaaS, all of which work toward improvements in cloud interoperability and security. </w:t>
      </w:r>
    </w:p>
    <w:p w14:paraId="2BC8FECE" w14:textId="77777777" w:rsidR="00F5712E" w:rsidRDefault="00000000">
      <w:pPr>
        <w:spacing w:after="91" w:line="259" w:lineRule="auto"/>
        <w:ind w:left="0" w:firstLine="0"/>
        <w:jc w:val="left"/>
      </w:pPr>
      <w:r>
        <w:t xml:space="preserve"> </w:t>
      </w:r>
    </w:p>
    <w:p w14:paraId="58E3EA12" w14:textId="77777777" w:rsidR="00F5712E" w:rsidRDefault="00000000">
      <w:pPr>
        <w:ind w:left="19"/>
      </w:pPr>
      <w:r>
        <w:t xml:space="preserve">IBM is a member of </w:t>
      </w:r>
      <w:r>
        <w:rPr>
          <w:color w:val="0645AD"/>
        </w:rPr>
        <w:t>The Open Group</w:t>
      </w:r>
      <w:r>
        <w:t xml:space="preserve">, a council that works for the development of open, vendor-neutral IT standards and certifications. Other members of the group include </w:t>
      </w:r>
      <w:r>
        <w:rPr>
          <w:color w:val="0645AD"/>
        </w:rPr>
        <w:t>HP</w:t>
      </w:r>
      <w:r>
        <w:t xml:space="preserve">, </w:t>
      </w:r>
      <w:r>
        <w:rPr>
          <w:color w:val="0645AD"/>
        </w:rPr>
        <w:t>Oracle</w:t>
      </w:r>
      <w:r>
        <w:t xml:space="preserve">, </w:t>
      </w:r>
      <w:r>
        <w:rPr>
          <w:color w:val="0645AD"/>
        </w:rPr>
        <w:t>SAP</w:t>
      </w:r>
      <w:r>
        <w:t xml:space="preserve"> and numerous others.</w:t>
      </w:r>
      <w:r>
        <w:rPr>
          <w:color w:val="0645AD"/>
          <w:sz w:val="25"/>
          <w:vertAlign w:val="superscript"/>
        </w:rPr>
        <w:t>[27]</w:t>
      </w:r>
      <w:r>
        <w:t xml:space="preserve"> IBM contributed the </w:t>
      </w:r>
      <w:r>
        <w:rPr>
          <w:color w:val="3366BB"/>
        </w:rPr>
        <w:t>Cloud Computing Reference Architecture</w:t>
      </w:r>
      <w:r>
        <w:t xml:space="preserve"> in February 2011 to The Open Group as the basis of an industry-wide cloud architecture. IBM's CCRA is based on real-world input from many cloud implementations across IBM. It is intended to be used as a blueprint/guide for architecting cloud implementations, driven by functional and non-functional requirements of the respective cloud implementation. HP and </w:t>
      </w:r>
      <w:r>
        <w:rPr>
          <w:color w:val="0645AD"/>
        </w:rPr>
        <w:t>Microsoft</w:t>
      </w:r>
      <w:r>
        <w:t xml:space="preserve"> have also published Cloud Computing Reference Architectures.  </w:t>
      </w:r>
    </w:p>
    <w:p w14:paraId="3A978816" w14:textId="77777777" w:rsidR="00F5712E" w:rsidRDefault="00000000">
      <w:pPr>
        <w:spacing w:after="89" w:line="259" w:lineRule="auto"/>
        <w:ind w:left="0" w:firstLine="0"/>
        <w:jc w:val="left"/>
      </w:pPr>
      <w:r>
        <w:t xml:space="preserve"> </w:t>
      </w:r>
    </w:p>
    <w:p w14:paraId="624C7BC6" w14:textId="77777777" w:rsidR="00F5712E" w:rsidRDefault="00000000">
      <w:pPr>
        <w:spacing w:after="0"/>
        <w:ind w:left="19"/>
      </w:pPr>
      <w:r>
        <w:t xml:space="preserve">Within the IaaS space, IBM is a member of the Cloud Management Work Group (CMWG) within the </w:t>
      </w:r>
      <w:r>
        <w:rPr>
          <w:color w:val="0645AD"/>
        </w:rPr>
        <w:t xml:space="preserve">Distributed Management Task </w:t>
      </w:r>
    </w:p>
    <w:p w14:paraId="2B353538" w14:textId="77777777" w:rsidR="00F5712E" w:rsidRDefault="00000000">
      <w:pPr>
        <w:spacing w:after="32"/>
        <w:ind w:left="19"/>
      </w:pPr>
      <w:r>
        <w:rPr>
          <w:color w:val="0645AD"/>
        </w:rPr>
        <w:t>Force</w:t>
      </w:r>
      <w:r>
        <w:t xml:space="preserve"> (DMTF), which released a draft version of their IaaS </w:t>
      </w:r>
      <w:r>
        <w:rPr>
          <w:color w:val="0645AD"/>
        </w:rPr>
        <w:t>APIs</w:t>
      </w:r>
      <w:r>
        <w:t xml:space="preserve">, called the </w:t>
      </w:r>
      <w:r>
        <w:rPr>
          <w:color w:val="0645AD"/>
        </w:rPr>
        <w:t>Cloud Infrastructure Management Interface</w:t>
      </w:r>
      <w:r>
        <w:t xml:space="preserve"> (CIMI), on September 14, 2011. The CIMI APIs define a logical model for the management of resources within the Infrastructure as a Service domain. With these APIs, clients can create, manage and connect machines, volumes and networks. </w:t>
      </w:r>
    </w:p>
    <w:p w14:paraId="33477A77" w14:textId="77777777" w:rsidR="00F5712E" w:rsidRDefault="00000000">
      <w:pPr>
        <w:spacing w:after="384" w:line="259" w:lineRule="auto"/>
        <w:ind w:left="0" w:firstLine="0"/>
        <w:jc w:val="left"/>
      </w:pPr>
      <w:r>
        <w:rPr>
          <w:sz w:val="24"/>
        </w:rPr>
        <w:lastRenderedPageBreak/>
        <w:t xml:space="preserve"> </w:t>
      </w:r>
    </w:p>
    <w:p w14:paraId="5831E7E4" w14:textId="77777777" w:rsidR="00F5712E" w:rsidRDefault="00000000">
      <w:pPr>
        <w:pStyle w:val="Heading1"/>
      </w:pPr>
      <w:r>
        <w:t xml:space="preserve">IBM Cloud Account </w:t>
      </w:r>
    </w:p>
    <w:p w14:paraId="0D9A0CAB" w14:textId="77777777" w:rsidR="00F5712E" w:rsidRDefault="00000000">
      <w:pPr>
        <w:spacing w:after="0" w:line="259" w:lineRule="auto"/>
        <w:ind w:left="0" w:firstLine="0"/>
        <w:jc w:val="left"/>
      </w:pPr>
      <w:r>
        <w:rPr>
          <w:color w:val="000000"/>
          <w:sz w:val="24"/>
        </w:rPr>
        <w:t xml:space="preserve"> Create and login to IBM Account. </w:t>
      </w:r>
    </w:p>
    <w:p w14:paraId="69E4B2BE" w14:textId="77777777" w:rsidR="00F5712E" w:rsidRDefault="00000000">
      <w:pPr>
        <w:spacing w:after="0" w:line="259" w:lineRule="auto"/>
        <w:ind w:left="0" w:firstLine="0"/>
        <w:jc w:val="left"/>
      </w:pPr>
      <w:r>
        <w:rPr>
          <w:color w:val="000000"/>
          <w:sz w:val="24"/>
        </w:rPr>
        <w:t xml:space="preserve"> </w:t>
      </w:r>
    </w:p>
    <w:p w14:paraId="05AA0CD3" w14:textId="77777777" w:rsidR="00F5712E" w:rsidRDefault="00000000">
      <w:pPr>
        <w:spacing w:after="0" w:line="259" w:lineRule="auto"/>
        <w:ind w:left="0" w:firstLine="0"/>
        <w:jc w:val="left"/>
      </w:pPr>
      <w:r>
        <w:rPr>
          <w:color w:val="000000"/>
          <w:sz w:val="24"/>
        </w:rPr>
        <w:t xml:space="preserve"> </w:t>
      </w:r>
    </w:p>
    <w:p w14:paraId="67BAC069" w14:textId="77777777" w:rsidR="00F5712E" w:rsidRDefault="00000000">
      <w:pPr>
        <w:spacing w:after="0" w:line="218" w:lineRule="auto"/>
        <w:ind w:left="0" w:right="5394" w:firstLine="0"/>
        <w:jc w:val="left"/>
      </w:pPr>
      <w:r>
        <w:rPr>
          <w:color w:val="000000"/>
          <w:sz w:val="24"/>
        </w:rPr>
        <w:t xml:space="preserve"> Link: </w:t>
      </w:r>
      <w:r>
        <w:rPr>
          <w:color w:val="3C8DBC"/>
          <w:sz w:val="24"/>
          <w:u w:val="single" w:color="3C8DBC"/>
        </w:rPr>
        <w:t>https://cloud.ibm.com/registration</w:t>
      </w:r>
      <w:r>
        <w:rPr>
          <w:color w:val="000000"/>
          <w:sz w:val="24"/>
        </w:rPr>
        <w:t xml:space="preserve"> </w:t>
      </w:r>
      <w:r>
        <w:rPr>
          <w:color w:val="000000"/>
          <w:sz w:val="48"/>
        </w:rPr>
        <w:t xml:space="preserve"> </w:t>
      </w:r>
    </w:p>
    <w:sectPr w:rsidR="00F5712E">
      <w:pgSz w:w="12240" w:h="15840"/>
      <w:pgMar w:top="1507" w:right="1439" w:bottom="15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05BD7"/>
    <w:multiLevelType w:val="hybridMultilevel"/>
    <w:tmpl w:val="2ED28A4A"/>
    <w:lvl w:ilvl="0" w:tplc="E34A15EE">
      <w:start w:val="1"/>
      <w:numFmt w:val="bullet"/>
      <w:lvlText w:val="•"/>
      <w:lvlJc w:val="left"/>
      <w:pPr>
        <w:ind w:left="369"/>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1" w:tplc="C4D84F96">
      <w:start w:val="1"/>
      <w:numFmt w:val="bullet"/>
      <w:lvlText w:val="o"/>
      <w:lvlJc w:val="left"/>
      <w:pPr>
        <w:ind w:left="1104"/>
      </w:pPr>
      <w:rPr>
        <w:rFonts w:ascii="Times New Roman" w:eastAsia="Times New Roman" w:hAnsi="Times New Roman" w:cs="Times New Roman"/>
        <w:b w:val="0"/>
        <w:i w:val="0"/>
        <w:strike w:val="0"/>
        <w:dstrike w:val="0"/>
        <w:color w:val="202122"/>
        <w:sz w:val="20"/>
        <w:szCs w:val="20"/>
        <w:u w:val="none" w:color="000000"/>
        <w:bdr w:val="none" w:sz="0" w:space="0" w:color="auto"/>
        <w:shd w:val="clear" w:color="auto" w:fill="auto"/>
        <w:vertAlign w:val="baseline"/>
      </w:rPr>
    </w:lvl>
    <w:lvl w:ilvl="2" w:tplc="A1441976">
      <w:start w:val="1"/>
      <w:numFmt w:val="bullet"/>
      <w:lvlText w:val="▪"/>
      <w:lvlJc w:val="left"/>
      <w:pPr>
        <w:ind w:left="1824"/>
      </w:pPr>
      <w:rPr>
        <w:rFonts w:ascii="Times New Roman" w:eastAsia="Times New Roman" w:hAnsi="Times New Roman" w:cs="Times New Roman"/>
        <w:b w:val="0"/>
        <w:i w:val="0"/>
        <w:strike w:val="0"/>
        <w:dstrike w:val="0"/>
        <w:color w:val="202122"/>
        <w:sz w:val="20"/>
        <w:szCs w:val="20"/>
        <w:u w:val="none" w:color="000000"/>
        <w:bdr w:val="none" w:sz="0" w:space="0" w:color="auto"/>
        <w:shd w:val="clear" w:color="auto" w:fill="auto"/>
        <w:vertAlign w:val="baseline"/>
      </w:rPr>
    </w:lvl>
    <w:lvl w:ilvl="3" w:tplc="2BBE5FF2">
      <w:start w:val="1"/>
      <w:numFmt w:val="bullet"/>
      <w:lvlText w:val="•"/>
      <w:lvlJc w:val="left"/>
      <w:pPr>
        <w:ind w:left="2544"/>
      </w:pPr>
      <w:rPr>
        <w:rFonts w:ascii="Times New Roman" w:eastAsia="Times New Roman" w:hAnsi="Times New Roman" w:cs="Times New Roman"/>
        <w:b w:val="0"/>
        <w:i w:val="0"/>
        <w:strike w:val="0"/>
        <w:dstrike w:val="0"/>
        <w:color w:val="202122"/>
        <w:sz w:val="20"/>
        <w:szCs w:val="20"/>
        <w:u w:val="none" w:color="000000"/>
        <w:bdr w:val="none" w:sz="0" w:space="0" w:color="auto"/>
        <w:shd w:val="clear" w:color="auto" w:fill="auto"/>
        <w:vertAlign w:val="baseline"/>
      </w:rPr>
    </w:lvl>
    <w:lvl w:ilvl="4" w:tplc="41BC34D8">
      <w:start w:val="1"/>
      <w:numFmt w:val="bullet"/>
      <w:lvlText w:val="o"/>
      <w:lvlJc w:val="left"/>
      <w:pPr>
        <w:ind w:left="3264"/>
      </w:pPr>
      <w:rPr>
        <w:rFonts w:ascii="Times New Roman" w:eastAsia="Times New Roman" w:hAnsi="Times New Roman" w:cs="Times New Roman"/>
        <w:b w:val="0"/>
        <w:i w:val="0"/>
        <w:strike w:val="0"/>
        <w:dstrike w:val="0"/>
        <w:color w:val="202122"/>
        <w:sz w:val="20"/>
        <w:szCs w:val="20"/>
        <w:u w:val="none" w:color="000000"/>
        <w:bdr w:val="none" w:sz="0" w:space="0" w:color="auto"/>
        <w:shd w:val="clear" w:color="auto" w:fill="auto"/>
        <w:vertAlign w:val="baseline"/>
      </w:rPr>
    </w:lvl>
    <w:lvl w:ilvl="5" w:tplc="9006B356">
      <w:start w:val="1"/>
      <w:numFmt w:val="bullet"/>
      <w:lvlText w:val="▪"/>
      <w:lvlJc w:val="left"/>
      <w:pPr>
        <w:ind w:left="3984"/>
      </w:pPr>
      <w:rPr>
        <w:rFonts w:ascii="Times New Roman" w:eastAsia="Times New Roman" w:hAnsi="Times New Roman" w:cs="Times New Roman"/>
        <w:b w:val="0"/>
        <w:i w:val="0"/>
        <w:strike w:val="0"/>
        <w:dstrike w:val="0"/>
        <w:color w:val="202122"/>
        <w:sz w:val="20"/>
        <w:szCs w:val="20"/>
        <w:u w:val="none" w:color="000000"/>
        <w:bdr w:val="none" w:sz="0" w:space="0" w:color="auto"/>
        <w:shd w:val="clear" w:color="auto" w:fill="auto"/>
        <w:vertAlign w:val="baseline"/>
      </w:rPr>
    </w:lvl>
    <w:lvl w:ilvl="6" w:tplc="72EC46EE">
      <w:start w:val="1"/>
      <w:numFmt w:val="bullet"/>
      <w:lvlText w:val="•"/>
      <w:lvlJc w:val="left"/>
      <w:pPr>
        <w:ind w:left="4704"/>
      </w:pPr>
      <w:rPr>
        <w:rFonts w:ascii="Times New Roman" w:eastAsia="Times New Roman" w:hAnsi="Times New Roman" w:cs="Times New Roman"/>
        <w:b w:val="0"/>
        <w:i w:val="0"/>
        <w:strike w:val="0"/>
        <w:dstrike w:val="0"/>
        <w:color w:val="202122"/>
        <w:sz w:val="20"/>
        <w:szCs w:val="20"/>
        <w:u w:val="none" w:color="000000"/>
        <w:bdr w:val="none" w:sz="0" w:space="0" w:color="auto"/>
        <w:shd w:val="clear" w:color="auto" w:fill="auto"/>
        <w:vertAlign w:val="baseline"/>
      </w:rPr>
    </w:lvl>
    <w:lvl w:ilvl="7" w:tplc="70EEF47A">
      <w:start w:val="1"/>
      <w:numFmt w:val="bullet"/>
      <w:lvlText w:val="o"/>
      <w:lvlJc w:val="left"/>
      <w:pPr>
        <w:ind w:left="5424"/>
      </w:pPr>
      <w:rPr>
        <w:rFonts w:ascii="Times New Roman" w:eastAsia="Times New Roman" w:hAnsi="Times New Roman" w:cs="Times New Roman"/>
        <w:b w:val="0"/>
        <w:i w:val="0"/>
        <w:strike w:val="0"/>
        <w:dstrike w:val="0"/>
        <w:color w:val="202122"/>
        <w:sz w:val="20"/>
        <w:szCs w:val="20"/>
        <w:u w:val="none" w:color="000000"/>
        <w:bdr w:val="none" w:sz="0" w:space="0" w:color="auto"/>
        <w:shd w:val="clear" w:color="auto" w:fill="auto"/>
        <w:vertAlign w:val="baseline"/>
      </w:rPr>
    </w:lvl>
    <w:lvl w:ilvl="8" w:tplc="A5BCC8C0">
      <w:start w:val="1"/>
      <w:numFmt w:val="bullet"/>
      <w:lvlText w:val="▪"/>
      <w:lvlJc w:val="left"/>
      <w:pPr>
        <w:ind w:left="6144"/>
      </w:pPr>
      <w:rPr>
        <w:rFonts w:ascii="Times New Roman" w:eastAsia="Times New Roman" w:hAnsi="Times New Roman" w:cs="Times New Roman"/>
        <w:b w:val="0"/>
        <w:i w:val="0"/>
        <w:strike w:val="0"/>
        <w:dstrike w:val="0"/>
        <w:color w:val="202122"/>
        <w:sz w:val="20"/>
        <w:szCs w:val="20"/>
        <w:u w:val="none" w:color="000000"/>
        <w:bdr w:val="none" w:sz="0" w:space="0" w:color="auto"/>
        <w:shd w:val="clear" w:color="auto" w:fill="auto"/>
        <w:vertAlign w:val="baseline"/>
      </w:rPr>
    </w:lvl>
  </w:abstractNum>
  <w:num w:numId="1" w16cid:durableId="29818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12E"/>
    <w:rsid w:val="00531F76"/>
    <w:rsid w:val="00F57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8F1B"/>
  <w15:docId w15:val="{416CEF59-732A-4E77-B08D-073AF610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jc w:val="both"/>
    </w:pPr>
    <w:rPr>
      <w:rFonts w:ascii="Times New Roman" w:eastAsia="Times New Roman" w:hAnsi="Times New Roman" w:cs="Times New Roman"/>
      <w:color w:val="202122"/>
      <w:sz w:val="32"/>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2D2828"/>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D2828"/>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IBM Cloud</dc:title>
  <dc:subject/>
  <dc:creator>admin</dc:creator>
  <cp:keywords/>
  <cp:lastModifiedBy>19104147.cse@hindusthan.net</cp:lastModifiedBy>
  <cp:revision>2</cp:revision>
  <dcterms:created xsi:type="dcterms:W3CDTF">2022-11-06T16:18:00Z</dcterms:created>
  <dcterms:modified xsi:type="dcterms:W3CDTF">2022-11-06T16:18:00Z</dcterms:modified>
</cp:coreProperties>
</file>