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308" w:rsidRDefault="00015874">
      <w:pPr>
        <w:spacing w:after="114" w:line="259" w:lineRule="auto"/>
        <w:ind w:left="0" w:right="800" w:firstLine="0"/>
        <w:jc w:val="right"/>
      </w:pPr>
      <w:r>
        <w:rPr>
          <w:color w:val="000000"/>
          <w:sz w:val="36"/>
        </w:rPr>
        <w:t xml:space="preserve">Visualizing and Predicting Heart Diseases with an Interactive Dash Board </w:t>
      </w:r>
      <w:r>
        <w:rPr>
          <w:color w:val="000000"/>
          <w:sz w:val="22"/>
        </w:rPr>
        <w:t xml:space="preserve"> </w:t>
      </w:r>
    </w:p>
    <w:p w:rsidR="00876308" w:rsidRDefault="00015874">
      <w:pPr>
        <w:spacing w:after="198" w:line="259" w:lineRule="auto"/>
        <w:ind w:left="0" w:right="13" w:firstLine="0"/>
        <w:jc w:val="center"/>
      </w:pPr>
      <w:r>
        <w:rPr>
          <w:color w:val="000000"/>
          <w:sz w:val="24"/>
        </w:rPr>
        <w:t>Team ID: PNT2022TMID10044</w:t>
      </w:r>
    </w:p>
    <w:p w:rsidR="00876308" w:rsidRDefault="00015874">
      <w:pPr>
        <w:spacing w:after="232" w:line="259" w:lineRule="auto"/>
        <w:ind w:left="0" w:firstLine="0"/>
      </w:pPr>
      <w:r>
        <w:rPr>
          <w:color w:val="000000"/>
          <w:sz w:val="22"/>
        </w:rPr>
        <w:t xml:space="preserve"> </w:t>
      </w:r>
    </w:p>
    <w:p w:rsidR="00876308" w:rsidRDefault="00015874">
      <w:pPr>
        <w:spacing w:after="174" w:line="259" w:lineRule="auto"/>
        <w:ind w:left="-5"/>
      </w:pPr>
      <w:r>
        <w:rPr>
          <w:color w:val="000000"/>
          <w:sz w:val="24"/>
        </w:rPr>
        <w:t>Faculty Mentor:                                                                                                                     Team Leader : Sakthivel M</w:t>
      </w:r>
    </w:p>
    <w:p w:rsidR="00876308" w:rsidRDefault="00015874">
      <w:pPr>
        <w:spacing w:after="208" w:line="259" w:lineRule="auto"/>
        <w:ind w:left="-5"/>
      </w:pPr>
      <w:r>
        <w:rPr>
          <w:color w:val="000000"/>
          <w:sz w:val="24"/>
        </w:rPr>
        <w:t xml:space="preserve"> T K P Rajagopal</w:t>
      </w:r>
      <w:r>
        <w:rPr>
          <w:color w:val="000000"/>
          <w:sz w:val="24"/>
        </w:rPr>
        <w:t xml:space="preserve">                                                                                    </w:t>
      </w:r>
      <w:r>
        <w:rPr>
          <w:color w:val="000000"/>
          <w:sz w:val="24"/>
        </w:rPr>
        <w:t xml:space="preserve">                               Team Member : Sadhana M</w:t>
      </w:r>
      <w:r>
        <w:rPr>
          <w:color w:val="000000"/>
          <w:sz w:val="24"/>
        </w:rPr>
        <w:t xml:space="preserve"> </w:t>
      </w:r>
    </w:p>
    <w:p w:rsidR="00876308" w:rsidRDefault="00015874">
      <w:pPr>
        <w:tabs>
          <w:tab w:val="center" w:pos="8359"/>
        </w:tabs>
        <w:spacing w:after="208" w:line="259" w:lineRule="auto"/>
        <w:ind w:left="-15" w:firstLine="0"/>
      </w:pPr>
      <w:r>
        <w:rPr>
          <w:color w:val="000000"/>
          <w:sz w:val="24"/>
        </w:rPr>
        <w:t xml:space="preserve">                                                      </w:t>
      </w:r>
      <w:r>
        <w:rPr>
          <w:color w:val="000000"/>
          <w:sz w:val="24"/>
        </w:rPr>
        <w:tab/>
        <w:t xml:space="preserve">                                                  Team Member : Sirisha G</w:t>
      </w:r>
    </w:p>
    <w:p w:rsidR="00876308" w:rsidRDefault="00015874">
      <w:pPr>
        <w:tabs>
          <w:tab w:val="center" w:pos="8581"/>
        </w:tabs>
        <w:spacing w:after="251" w:line="259" w:lineRule="auto"/>
        <w:ind w:left="-15" w:firstLine="0"/>
      </w:pPr>
      <w:r>
        <w:rPr>
          <w:color w:val="000000"/>
          <w:sz w:val="24"/>
        </w:rPr>
        <w:t xml:space="preserve"> </w:t>
      </w:r>
      <w:r>
        <w:rPr>
          <w:color w:val="000000"/>
          <w:sz w:val="24"/>
        </w:rPr>
        <w:tab/>
        <w:t xml:space="preserve">                                                        </w:t>
      </w:r>
      <w:r>
        <w:rPr>
          <w:color w:val="000000"/>
          <w:sz w:val="24"/>
        </w:rPr>
        <w:t>Team Member : Sneha Bharathi V</w:t>
      </w:r>
    </w:p>
    <w:p w:rsidR="00876308" w:rsidRDefault="00015874">
      <w:pPr>
        <w:tabs>
          <w:tab w:val="center" w:pos="8322"/>
        </w:tabs>
        <w:spacing w:after="208" w:line="259" w:lineRule="auto"/>
        <w:ind w:left="-15" w:firstLine="0"/>
      </w:pPr>
      <w:r>
        <w:rPr>
          <w:color w:val="000000"/>
          <w:sz w:val="24"/>
        </w:rPr>
        <w:t xml:space="preserve"> </w:t>
      </w:r>
      <w:r>
        <w:rPr>
          <w:color w:val="000000"/>
          <w:sz w:val="24"/>
        </w:rPr>
        <w:tab/>
        <w:t xml:space="preserve">                                                  </w:t>
      </w:r>
      <w:bookmarkStart w:id="0" w:name="_GoBack"/>
      <w:bookmarkEnd w:id="0"/>
    </w:p>
    <w:p w:rsidR="00876308" w:rsidRDefault="00015874">
      <w:pPr>
        <w:spacing w:after="232" w:line="259" w:lineRule="auto"/>
        <w:ind w:left="0" w:firstLine="0"/>
      </w:pPr>
      <w:r>
        <w:rPr>
          <w:color w:val="000000"/>
          <w:sz w:val="22"/>
        </w:rPr>
        <w:t xml:space="preserve"> </w:t>
      </w:r>
    </w:p>
    <w:p w:rsidR="00876308" w:rsidRDefault="00015874">
      <w:pPr>
        <w:spacing w:after="232" w:line="259" w:lineRule="auto"/>
        <w:ind w:left="0" w:firstLine="0"/>
      </w:pPr>
      <w:r>
        <w:rPr>
          <w:color w:val="000000"/>
          <w:sz w:val="22"/>
        </w:rPr>
        <w:t xml:space="preserve"> </w:t>
      </w:r>
    </w:p>
    <w:p w:rsidR="00876308" w:rsidRDefault="00015874">
      <w:pPr>
        <w:spacing w:after="232" w:line="259" w:lineRule="auto"/>
        <w:ind w:left="0" w:firstLine="0"/>
      </w:pPr>
      <w:r>
        <w:rPr>
          <w:color w:val="000000"/>
          <w:sz w:val="22"/>
        </w:rPr>
        <w:t xml:space="preserve"> </w:t>
      </w:r>
    </w:p>
    <w:p w:rsidR="00876308" w:rsidRDefault="00015874">
      <w:pPr>
        <w:spacing w:after="232" w:line="259" w:lineRule="auto"/>
        <w:ind w:left="0" w:firstLine="0"/>
      </w:pPr>
      <w:r>
        <w:rPr>
          <w:color w:val="000000"/>
          <w:sz w:val="22"/>
        </w:rPr>
        <w:t xml:space="preserve"> </w:t>
      </w:r>
    </w:p>
    <w:p w:rsidR="00876308" w:rsidRDefault="00015874">
      <w:pPr>
        <w:spacing w:after="232" w:line="259" w:lineRule="auto"/>
        <w:ind w:left="0" w:firstLine="0"/>
      </w:pPr>
      <w:r>
        <w:rPr>
          <w:color w:val="000000"/>
          <w:sz w:val="22"/>
        </w:rPr>
        <w:t xml:space="preserve"> </w:t>
      </w:r>
    </w:p>
    <w:p w:rsidR="00876308" w:rsidRDefault="00015874">
      <w:pPr>
        <w:spacing w:after="232" w:line="259" w:lineRule="auto"/>
        <w:ind w:left="0" w:firstLine="0"/>
      </w:pPr>
      <w:r>
        <w:rPr>
          <w:color w:val="000000"/>
          <w:sz w:val="22"/>
        </w:rPr>
        <w:t xml:space="preserve"> </w:t>
      </w:r>
    </w:p>
    <w:p w:rsidR="00876308" w:rsidRDefault="00015874">
      <w:pPr>
        <w:spacing w:after="232" w:line="259" w:lineRule="auto"/>
        <w:ind w:left="0" w:firstLine="0"/>
      </w:pPr>
      <w:r>
        <w:rPr>
          <w:color w:val="000000"/>
          <w:sz w:val="22"/>
        </w:rPr>
        <w:t xml:space="preserve"> </w:t>
      </w:r>
    </w:p>
    <w:p w:rsidR="00876308" w:rsidRDefault="00015874">
      <w:pPr>
        <w:spacing w:after="232" w:line="259" w:lineRule="auto"/>
        <w:ind w:left="0" w:firstLine="0"/>
      </w:pPr>
      <w:r>
        <w:rPr>
          <w:color w:val="000000"/>
          <w:sz w:val="22"/>
        </w:rPr>
        <w:t xml:space="preserve"> </w:t>
      </w:r>
    </w:p>
    <w:p w:rsidR="00876308" w:rsidRDefault="00015874">
      <w:pPr>
        <w:spacing w:after="232" w:line="259" w:lineRule="auto"/>
        <w:ind w:left="0" w:firstLine="0"/>
      </w:pPr>
      <w:r>
        <w:rPr>
          <w:color w:val="000000"/>
          <w:sz w:val="22"/>
        </w:rPr>
        <w:lastRenderedPageBreak/>
        <w:t xml:space="preserve"> </w:t>
      </w:r>
    </w:p>
    <w:p w:rsidR="00876308" w:rsidRDefault="00015874">
      <w:pPr>
        <w:spacing w:after="0" w:line="259" w:lineRule="auto"/>
        <w:ind w:left="0" w:firstLine="0"/>
      </w:pPr>
      <w:r>
        <w:rPr>
          <w:color w:val="000000"/>
          <w:sz w:val="22"/>
        </w:rPr>
        <w:t xml:space="preserve"> </w:t>
      </w:r>
    </w:p>
    <w:p w:rsidR="00876308" w:rsidRDefault="00015874">
      <w:pPr>
        <w:spacing w:after="224" w:line="259" w:lineRule="auto"/>
        <w:ind w:left="0" w:firstLine="0"/>
      </w:pPr>
      <w:r>
        <w:rPr>
          <w:color w:val="000000"/>
          <w:sz w:val="32"/>
        </w:rPr>
        <w:t xml:space="preserve">IBM Cognos Analytics: </w:t>
      </w:r>
    </w:p>
    <w:p w:rsidR="00876308" w:rsidRDefault="00015874">
      <w:pPr>
        <w:spacing w:after="183" w:line="259" w:lineRule="auto"/>
        <w:ind w:left="0" w:firstLine="0"/>
      </w:pPr>
      <w:r>
        <w:rPr>
          <w:color w:val="000000"/>
          <w:sz w:val="32"/>
        </w:rPr>
        <w:t xml:space="preserve"> </w:t>
      </w:r>
    </w:p>
    <w:p w:rsidR="00876308" w:rsidRDefault="00015874">
      <w:pPr>
        <w:spacing w:after="133" w:line="273" w:lineRule="auto"/>
        <w:ind w:left="0" w:firstLine="0"/>
        <w:jc w:val="both"/>
      </w:pPr>
      <w:r>
        <w:rPr>
          <w:color w:val="000000"/>
        </w:rPr>
        <w:t xml:space="preserve">IBM Cognos Business Intelligence is a web-based integrated </w:t>
      </w:r>
      <w:r>
        <w:rPr>
          <w:color w:val="000000"/>
          <w:u w:val="single" w:color="000000"/>
        </w:rPr>
        <w:t>business intelligence</w:t>
      </w:r>
      <w:r>
        <w:rPr>
          <w:color w:val="000000"/>
        </w:rPr>
        <w:t xml:space="preserve"> suite by </w:t>
      </w:r>
      <w:r>
        <w:rPr>
          <w:color w:val="000000"/>
          <w:u w:val="single" w:color="000000"/>
        </w:rPr>
        <w:t>IBM</w:t>
      </w:r>
      <w:r>
        <w:rPr>
          <w:color w:val="000000"/>
        </w:rPr>
        <w:t xml:space="preserve">. It provides a toolset for </w:t>
      </w:r>
      <w:r>
        <w:rPr>
          <w:color w:val="000000"/>
          <w:u w:val="single" w:color="000000"/>
        </w:rPr>
        <w:t>reporting</w:t>
      </w:r>
      <w:r>
        <w:rPr>
          <w:color w:val="000000"/>
        </w:rPr>
        <w:t xml:space="preserve">, </w:t>
      </w:r>
      <w:r>
        <w:rPr>
          <w:color w:val="000000"/>
          <w:u w:val="single" w:color="000000"/>
        </w:rPr>
        <w:t>analytics</w:t>
      </w:r>
      <w:r>
        <w:rPr>
          <w:color w:val="000000"/>
        </w:rPr>
        <w:t xml:space="preserve">, </w:t>
      </w:r>
      <w:r>
        <w:rPr>
          <w:color w:val="000000"/>
          <w:u w:val="single" w:color="000000"/>
        </w:rPr>
        <w:t>scorecarding</w:t>
      </w:r>
      <w:r>
        <w:rPr>
          <w:color w:val="000000"/>
        </w:rPr>
        <w:t>, and monitoring of events and metrics. The software consists of several components designed to meet the different information requirements in a company. IBM Cognos has components such as IBM Co</w:t>
      </w:r>
      <w:r>
        <w:rPr>
          <w:color w:val="000000"/>
        </w:rPr>
        <w:t>gnos Framework Manager, IBM Cognos Cube Designer, IBM Cognos Transformer</w:t>
      </w:r>
      <w:r>
        <w:rPr>
          <w:sz w:val="21"/>
        </w:rPr>
        <w:t xml:space="preserve">. </w:t>
      </w:r>
    </w:p>
    <w:p w:rsidR="00876308" w:rsidRDefault="00015874">
      <w:pPr>
        <w:spacing w:after="388" w:line="259" w:lineRule="auto"/>
        <w:ind w:left="0" w:firstLine="0"/>
      </w:pPr>
      <w:r>
        <w:rPr>
          <w:sz w:val="21"/>
        </w:rPr>
        <w:t xml:space="preserve"> </w:t>
      </w:r>
    </w:p>
    <w:p w:rsidR="00876308" w:rsidRDefault="00015874">
      <w:pPr>
        <w:pStyle w:val="Heading1"/>
        <w:ind w:left="-5"/>
      </w:pPr>
      <w:r>
        <w:t xml:space="preserve">Cognos Connection </w:t>
      </w:r>
    </w:p>
    <w:p w:rsidR="00876308" w:rsidRDefault="00015874">
      <w:pPr>
        <w:spacing w:after="0" w:line="259" w:lineRule="auto"/>
        <w:ind w:left="0" w:firstLine="0"/>
      </w:pPr>
      <w:r>
        <w:rPr>
          <w:color w:val="000000"/>
          <w:sz w:val="40"/>
        </w:rPr>
        <w:t xml:space="preserve"> </w:t>
      </w:r>
    </w:p>
    <w:p w:rsidR="00876308" w:rsidRDefault="00015874">
      <w:pPr>
        <w:ind w:left="-5"/>
      </w:pPr>
      <w:r>
        <w:t>Cognos Connection is the Web portal for IBM Cognos BI. It is the starting point for access to all functions provided with the suite. Using this portal, content can be searched in the form of reports, scorecards, and agents, it can be managed, structured, a</w:t>
      </w:r>
      <w:r>
        <w:t>nd displayed. In addition, the portal is used for multiple functions, for example to schedule and distribute reports, for creating tasks, administering the server, and the access permissions to content available to different users. You can also create shor</w:t>
      </w:r>
      <w:r>
        <w:t xml:space="preserve">tcuts, URLs, and pages. </w:t>
      </w:r>
    </w:p>
    <w:p w:rsidR="00876308" w:rsidRDefault="00015874">
      <w:pPr>
        <w:spacing w:after="202" w:line="259" w:lineRule="auto"/>
        <w:ind w:left="0" w:firstLine="0"/>
      </w:pPr>
      <w:r>
        <w:t xml:space="preserve"> </w:t>
      </w:r>
    </w:p>
    <w:p w:rsidR="00876308" w:rsidRDefault="00015874">
      <w:pPr>
        <w:pStyle w:val="Heading1"/>
        <w:ind w:left="-5"/>
      </w:pPr>
      <w:r>
        <w:t xml:space="preserve">Query Studio </w:t>
      </w:r>
    </w:p>
    <w:p w:rsidR="00876308" w:rsidRDefault="00015874">
      <w:pPr>
        <w:spacing w:after="0" w:line="259" w:lineRule="auto"/>
        <w:ind w:left="0" w:firstLine="0"/>
      </w:pPr>
      <w:r>
        <w:rPr>
          <w:color w:val="000000"/>
          <w:sz w:val="40"/>
        </w:rPr>
        <w:t xml:space="preserve"> </w:t>
      </w:r>
    </w:p>
    <w:p w:rsidR="00876308" w:rsidRDefault="00015874">
      <w:pPr>
        <w:spacing w:after="192"/>
        <w:ind w:left="-5"/>
      </w:pPr>
      <w:r>
        <w:t xml:space="preserve">Query Studio allows simple </w:t>
      </w:r>
      <w:r>
        <w:rPr>
          <w:color w:val="0645AD"/>
          <w:u w:val="single" w:color="0645AD"/>
        </w:rPr>
        <w:t>queries</w:t>
      </w:r>
      <w:r>
        <w:t xml:space="preserve"> and self-service reports to answer basic business questions. The report layout can be customized and data can be filtered and sorted. Formatting and creation of diagrams is also supported.</w:t>
      </w:r>
      <w:r>
        <w:rPr>
          <w:color w:val="0645AD"/>
          <w:sz w:val="21"/>
          <w:u w:val="single" w:color="0645AD"/>
          <w:vertAlign w:val="superscript"/>
        </w:rPr>
        <w:t>[1]</w:t>
      </w:r>
      <w:r>
        <w:rPr>
          <w:sz w:val="21"/>
          <w:vertAlign w:val="superscript"/>
        </w:rPr>
        <w:t xml:space="preserve"> </w:t>
      </w:r>
    </w:p>
    <w:p w:rsidR="00876308" w:rsidRDefault="00015874">
      <w:pPr>
        <w:spacing w:after="0" w:line="259" w:lineRule="auto"/>
        <w:ind w:left="0" w:firstLine="0"/>
      </w:pPr>
      <w:r>
        <w:lastRenderedPageBreak/>
        <w:t xml:space="preserve"> </w:t>
      </w:r>
    </w:p>
    <w:p w:rsidR="00876308" w:rsidRDefault="00015874">
      <w:pPr>
        <w:pStyle w:val="Heading1"/>
        <w:ind w:left="-5"/>
      </w:pPr>
      <w:r>
        <w:t xml:space="preserve">Report Studio </w:t>
      </w:r>
    </w:p>
    <w:p w:rsidR="00876308" w:rsidRDefault="00015874">
      <w:pPr>
        <w:spacing w:after="0" w:line="259" w:lineRule="auto"/>
        <w:ind w:left="0" w:firstLine="0"/>
      </w:pPr>
      <w:r>
        <w:rPr>
          <w:color w:val="000000"/>
          <w:sz w:val="40"/>
        </w:rPr>
        <w:t xml:space="preserve"> </w:t>
      </w:r>
    </w:p>
    <w:p w:rsidR="00876308" w:rsidRDefault="00015874">
      <w:pPr>
        <w:ind w:left="-5"/>
      </w:pPr>
      <w:r>
        <w:t>The Report Studio is used to create managem</w:t>
      </w:r>
      <w:r>
        <w:t>ent reports. It offers two different modes: The professional authoring mode enables users to access the full range of Report Studio functionality. In this mode, users can create any type of report, including charts, maps, lists, and repeat functions. In pr</w:t>
      </w:r>
      <w:r>
        <w:t>ofessional authoring mode all types of Data (relational or multidimensional) can be used, but dynamic data can not be displayed.</w:t>
      </w:r>
      <w:r>
        <w:rPr>
          <w:color w:val="0645AD"/>
          <w:sz w:val="21"/>
          <w:u w:val="single" w:color="0645AD"/>
          <w:vertAlign w:val="superscript"/>
        </w:rPr>
        <w:t>[1]</w:t>
      </w:r>
      <w:r>
        <w:t xml:space="preserve"> </w:t>
      </w:r>
    </w:p>
    <w:p w:rsidR="00876308" w:rsidRDefault="00015874">
      <w:pPr>
        <w:ind w:left="-5"/>
      </w:pPr>
      <w:r>
        <w:t>The express authoring mode has a more simple user interface, designed for non-technical users. It enables them to create tr</w:t>
      </w:r>
      <w:r>
        <w:t xml:space="preserve">aditional financial or management reports in a more focused user interface. In contrast to the professional authoring mode, the express authoring mode allows the use of dynamic data.  </w:t>
      </w:r>
    </w:p>
    <w:p w:rsidR="00876308" w:rsidRDefault="00015874">
      <w:pPr>
        <w:spacing w:after="202" w:line="259" w:lineRule="auto"/>
        <w:ind w:left="0" w:firstLine="0"/>
      </w:pPr>
      <w:r>
        <w:t xml:space="preserve"> </w:t>
      </w:r>
    </w:p>
    <w:p w:rsidR="00876308" w:rsidRDefault="00015874">
      <w:pPr>
        <w:pStyle w:val="Heading1"/>
        <w:spacing w:after="383"/>
        <w:ind w:left="-5"/>
      </w:pPr>
      <w:r>
        <w:t xml:space="preserve">Analysis Studio </w:t>
      </w:r>
    </w:p>
    <w:p w:rsidR="00876308" w:rsidRDefault="00015874">
      <w:pPr>
        <w:spacing w:after="244"/>
        <w:ind w:left="-5" w:right="205"/>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simplePos x="0" y="0"/>
                <wp:positionH relativeFrom="column">
                  <wp:posOffset>-18287</wp:posOffset>
                </wp:positionH>
                <wp:positionV relativeFrom="paragraph">
                  <wp:posOffset>-383625</wp:posOffset>
                </wp:positionV>
                <wp:extent cx="8266176" cy="545592"/>
                <wp:effectExtent l="0" t="0" r="0" b="0"/>
                <wp:wrapNone/>
                <wp:docPr id="1619" name="Group 1619"/>
                <wp:cNvGraphicFramePr/>
                <a:graphic xmlns:a="http://schemas.openxmlformats.org/drawingml/2006/main">
                  <a:graphicData uri="http://schemas.microsoft.com/office/word/2010/wordprocessingGroup">
                    <wpg:wgp>
                      <wpg:cNvGrpSpPr/>
                      <wpg:grpSpPr>
                        <a:xfrm>
                          <a:off x="0" y="0"/>
                          <a:ext cx="8266176" cy="545592"/>
                          <a:chOff x="0" y="0"/>
                          <a:chExt cx="8266176" cy="545592"/>
                        </a:xfrm>
                      </wpg:grpSpPr>
                      <wps:wsp>
                        <wps:cNvPr id="1822" name="Shape 1822"/>
                        <wps:cNvSpPr/>
                        <wps:spPr>
                          <a:xfrm>
                            <a:off x="0" y="0"/>
                            <a:ext cx="8266176" cy="341376"/>
                          </a:xfrm>
                          <a:custGeom>
                            <a:avLst/>
                            <a:gdLst/>
                            <a:ahLst/>
                            <a:cxnLst/>
                            <a:rect l="0" t="0" r="0" b="0"/>
                            <a:pathLst>
                              <a:path w="8266176" h="341376">
                                <a:moveTo>
                                  <a:pt x="0" y="0"/>
                                </a:moveTo>
                                <a:lnTo>
                                  <a:pt x="8266176" y="0"/>
                                </a:lnTo>
                                <a:lnTo>
                                  <a:pt x="8266176" y="341376"/>
                                </a:lnTo>
                                <a:lnTo>
                                  <a:pt x="0" y="341376"/>
                                </a:lnTo>
                                <a:lnTo>
                                  <a:pt x="0" y="0"/>
                                </a:lnTo>
                              </a:path>
                            </a:pathLst>
                          </a:custGeom>
                          <a:ln w="0" cap="flat">
                            <a:miter lim="127000"/>
                          </a:ln>
                        </wps:spPr>
                        <wps:style>
                          <a:lnRef idx="0">
                            <a:srgbClr val="000000">
                              <a:alpha val="0"/>
                            </a:srgbClr>
                          </a:lnRef>
                          <a:fillRef idx="1">
                            <a:srgbClr val="F8F9FA"/>
                          </a:fillRef>
                          <a:effectRef idx="0">
                            <a:scrgbClr r="0" g="0" b="0"/>
                          </a:effectRef>
                          <a:fontRef idx="none"/>
                        </wps:style>
                        <wps:bodyPr/>
                      </wps:wsp>
                      <wps:wsp>
                        <wps:cNvPr id="105" name="Rectangle 105"/>
                        <wps:cNvSpPr/>
                        <wps:spPr>
                          <a:xfrm>
                            <a:off x="18288" y="73963"/>
                            <a:ext cx="50769" cy="184733"/>
                          </a:xfrm>
                          <a:prstGeom prst="rect">
                            <a:avLst/>
                          </a:prstGeom>
                          <a:ln>
                            <a:noFill/>
                          </a:ln>
                        </wps:spPr>
                        <wps:txbx>
                          <w:txbxContent>
                            <w:p w:rsidR="00876308" w:rsidRDefault="00015874">
                              <w:pPr>
                                <w:spacing w:after="160" w:line="259" w:lineRule="auto"/>
                                <w:ind w:left="0" w:firstLine="0"/>
                              </w:pPr>
                              <w:r>
                                <w:rPr>
                                  <w:sz w:val="24"/>
                                </w:rPr>
                                <w:t xml:space="preserve"> </w:t>
                              </w:r>
                            </w:p>
                          </w:txbxContent>
                        </wps:txbx>
                        <wps:bodyPr horzOverflow="overflow" vert="horz" lIns="0" tIns="0" rIns="0" bIns="0" rtlCol="0">
                          <a:noAutofit/>
                        </wps:bodyPr>
                      </wps:wsp>
                      <wps:wsp>
                        <wps:cNvPr id="1823" name="Shape 1823"/>
                        <wps:cNvSpPr/>
                        <wps:spPr>
                          <a:xfrm>
                            <a:off x="0" y="341376"/>
                            <a:ext cx="8266176" cy="204216"/>
                          </a:xfrm>
                          <a:custGeom>
                            <a:avLst/>
                            <a:gdLst/>
                            <a:ahLst/>
                            <a:cxnLst/>
                            <a:rect l="0" t="0" r="0" b="0"/>
                            <a:pathLst>
                              <a:path w="8266176" h="204216">
                                <a:moveTo>
                                  <a:pt x="0" y="0"/>
                                </a:moveTo>
                                <a:lnTo>
                                  <a:pt x="8266176" y="0"/>
                                </a:lnTo>
                                <a:lnTo>
                                  <a:pt x="8266176" y="204216"/>
                                </a:lnTo>
                                <a:lnTo>
                                  <a:pt x="0" y="2042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619" style="width:650.88pt;height:42.96pt;position:absolute;z-index:-2147483622;mso-position-horizontal-relative:text;mso-position-horizontal:absolute;margin-left:-1.44pt;mso-position-vertical-relative:text;margin-top:-30.2068pt;" coordsize="82661,5455">
                <v:shape id="Shape 1824" style="position:absolute;width:82661;height:3413;left:0;top:0;" coordsize="8266176,341376" path="m0,0l8266176,0l8266176,341376l0,341376l0,0">
                  <v:stroke weight="0pt" endcap="flat" joinstyle="miter" miterlimit="10" on="false" color="#000000" opacity="0"/>
                  <v:fill on="true" color="#f8f9fa"/>
                </v:shape>
                <v:rect id="Rectangle 105" style="position:absolute;width:507;height:1847;left:182;top:739;" filled="f" stroked="f">
                  <v:textbox inset="0,0,0,0">
                    <w:txbxContent>
                      <w:p>
                        <w:pPr>
                          <w:spacing w:before="0" w:after="160" w:line="259" w:lineRule="auto"/>
                          <w:ind w:left="0" w:firstLine="0"/>
                        </w:pPr>
                        <w:r>
                          <w:rPr>
                            <w:sz w:val="24"/>
                          </w:rPr>
                          <w:t xml:space="preserve"> </w:t>
                        </w:r>
                      </w:p>
                    </w:txbxContent>
                  </v:textbox>
                </v:rect>
                <v:shape id="Shape 1825" style="position:absolute;width:82661;height:2042;left:0;top:3413;" coordsize="8266176,204216" path="m0,0l8266176,0l8266176,204216l0,204216l0,0">
                  <v:stroke weight="0pt" endcap="flat" joinstyle="miter" miterlimit="10" on="false" color="#000000" opacity="0"/>
                  <v:fill on="true" color="#ffffff"/>
                </v:shape>
              </v:group>
            </w:pict>
          </mc:Fallback>
        </mc:AlternateContent>
      </w:r>
      <w:r>
        <w:t>Users can create analyses of large data sources</w:t>
      </w:r>
      <w:r>
        <w:t xml:space="preserve"> and search for background information about an event or action. </w:t>
      </w:r>
      <w:r>
        <w:rPr>
          <w:color w:val="0645AD"/>
          <w:u w:val="single" w:color="0645AD"/>
        </w:rPr>
        <w:t>Multidimensional analysis</w:t>
      </w:r>
      <w:r>
        <w:t xml:space="preserve"> allows identifying trends and understanding of anomalies or deviations, which are not obvious in other types of reports. </w:t>
      </w:r>
      <w:r>
        <w:rPr>
          <w:color w:val="0645AD"/>
          <w:u w:val="single" w:color="0645AD"/>
        </w:rPr>
        <w:t>Drag-and-drop</w:t>
      </w:r>
      <w:r>
        <w:t xml:space="preserve"> features, elements and </w:t>
      </w:r>
      <w:r>
        <w:rPr>
          <w:color w:val="0645AD"/>
          <w:u w:val="single" w:color="0645AD"/>
        </w:rPr>
        <w:t>key per</w:t>
      </w:r>
      <w:r>
        <w:rPr>
          <w:color w:val="0645AD"/>
          <w:u w:val="single" w:color="0645AD"/>
        </w:rPr>
        <w:t>formance indicators</w:t>
      </w:r>
      <w:r>
        <w:t xml:space="preserve"> can be included in the analysis, </w:t>
      </w:r>
      <w:r>
        <w:rPr>
          <w:color w:val="0645AD"/>
          <w:u w:val="single" w:color="0645AD"/>
        </w:rPr>
        <w:t>rows and columns can be switched</w:t>
      </w:r>
      <w:r>
        <w:t xml:space="preserve">, </w:t>
      </w:r>
      <w:r>
        <w:rPr>
          <w:color w:val="0645AD"/>
          <w:u w:val="single" w:color="0645AD"/>
        </w:rPr>
        <w:t>OLAP-functionalities</w:t>
      </w:r>
      <w:r>
        <w:rPr>
          <w:color w:val="0645AD"/>
          <w:sz w:val="21"/>
          <w:vertAlign w:val="superscript"/>
        </w:rPr>
        <w:t>[2][3]</w:t>
      </w:r>
      <w:r>
        <w:t xml:space="preserve"> like drill-up and drill-down can be used to get a deeper understanding about the sources of the information used in the analysis. </w:t>
      </w:r>
    </w:p>
    <w:p w:rsidR="00876308" w:rsidRDefault="00015874">
      <w:pPr>
        <w:pStyle w:val="Heading1"/>
        <w:ind w:left="-5"/>
      </w:pPr>
      <w:r>
        <w:t>Event Studi</w:t>
      </w:r>
      <w:r>
        <w:t xml:space="preserve">o </w:t>
      </w:r>
    </w:p>
    <w:p w:rsidR="00876308" w:rsidRDefault="00015874">
      <w:pPr>
        <w:spacing w:after="0" w:line="259" w:lineRule="auto"/>
        <w:ind w:left="0" w:firstLine="0"/>
      </w:pPr>
      <w:r>
        <w:rPr>
          <w:color w:val="000000"/>
          <w:sz w:val="40"/>
        </w:rPr>
        <w:t xml:space="preserve"> </w:t>
      </w:r>
    </w:p>
    <w:p w:rsidR="00876308" w:rsidRDefault="00015874">
      <w:pPr>
        <w:ind w:left="-5"/>
      </w:pPr>
      <w:r>
        <w:t>The Event Studio is a notification tool that informs about events within the enterprise in real time. Therefore, agents can be created to detect the occurrence of business events or exceptional circumstances, based on the change of specified event- or</w:t>
      </w:r>
      <w:r>
        <w:t xml:space="preserve"> data conditions. A notification may be served by sending an e-mail, its publication in the portal, or by triggering reports. This can be used to handle failure with notification. It is very robust in nature. </w:t>
      </w:r>
    </w:p>
    <w:p w:rsidR="00876308" w:rsidRDefault="00015874">
      <w:pPr>
        <w:pStyle w:val="Heading1"/>
        <w:ind w:left="-5"/>
      </w:pPr>
      <w:r>
        <w:lastRenderedPageBreak/>
        <w:t xml:space="preserve">Workspace </w:t>
      </w:r>
    </w:p>
    <w:p w:rsidR="00876308" w:rsidRDefault="00015874">
      <w:pPr>
        <w:spacing w:after="0" w:line="259" w:lineRule="auto"/>
        <w:ind w:left="0" w:firstLine="0"/>
      </w:pPr>
      <w:r>
        <w:rPr>
          <w:color w:val="000000"/>
          <w:sz w:val="40"/>
        </w:rPr>
        <w:t xml:space="preserve"> </w:t>
      </w:r>
    </w:p>
    <w:p w:rsidR="00876308" w:rsidRDefault="00015874">
      <w:pPr>
        <w:spacing w:after="98"/>
        <w:ind w:left="-5"/>
      </w:pPr>
      <w:r>
        <w:t>IBM Cognos Workspace (formerly in</w:t>
      </w:r>
      <w:r>
        <w:t xml:space="preserve">troduced in version 10.1 as IBM Cognos Business Insight and renamed in version 10.2.0) is a web-based interface that allows business users to use existing IBM Cognos content (report objects) to build interactive workspaces for insight and collaboration. </w:t>
      </w:r>
    </w:p>
    <w:p w:rsidR="00876308" w:rsidRDefault="00015874">
      <w:pPr>
        <w:spacing w:after="0" w:line="259" w:lineRule="auto"/>
        <w:ind w:left="0" w:firstLine="0"/>
      </w:pPr>
      <w:r>
        <w:rPr>
          <w:color w:val="000000"/>
          <w:sz w:val="24"/>
        </w:rPr>
        <w:t xml:space="preserve"> </w:t>
      </w:r>
    </w:p>
    <w:sectPr w:rsidR="00876308">
      <w:pgSz w:w="15840" w:h="12240" w:orient="landscape"/>
      <w:pgMar w:top="1523" w:right="1424" w:bottom="16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308"/>
    <w:rsid w:val="00015874"/>
    <w:rsid w:val="00876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8505"/>
  <w15:docId w15:val="{7AFE1D49-BB8D-48DC-AC60-A063B516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2" w:line="227" w:lineRule="auto"/>
      <w:ind w:left="10" w:hanging="10"/>
    </w:pPr>
    <w:rPr>
      <w:rFonts w:ascii="Times New Roman" w:eastAsia="Times New Roman" w:hAnsi="Times New Roman" w:cs="Times New Roman"/>
      <w:color w:val="202122"/>
      <w:sz w:val="28"/>
    </w:rPr>
  </w:style>
  <w:style w:type="paragraph" w:styleId="Heading1">
    <w:name w:val="heading 1"/>
    <w:next w:val="Normal"/>
    <w:link w:val="Heading1Char"/>
    <w:uiPriority w:val="9"/>
    <w:unhideWhenUsed/>
    <w:qFormat/>
    <w:pPr>
      <w:keepNext/>
      <w:keepLines/>
      <w:spacing w:after="29"/>
      <w:ind w:left="10" w:hanging="10"/>
      <w:outlineLvl w:val="0"/>
    </w:pPr>
    <w:rPr>
      <w:rFonts w:ascii="Times New Roman" w:eastAsia="Times New Roman" w:hAnsi="Times New Roman" w:cs="Times New Roman"/>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Microsoft Word - Technical architecture</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Technical architecture</dc:title>
  <dc:subject/>
  <dc:creator>HP</dc:creator>
  <cp:keywords/>
  <cp:lastModifiedBy>Hicet</cp:lastModifiedBy>
  <cp:revision>2</cp:revision>
  <dcterms:created xsi:type="dcterms:W3CDTF">2022-11-07T07:06:00Z</dcterms:created>
  <dcterms:modified xsi:type="dcterms:W3CDTF">2022-11-07T07:06:00Z</dcterms:modified>
</cp:coreProperties>
</file>