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PNT2022TMID06847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Personal Expense Tracker Application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</w:t>
      </w:r>
      <w:r w:rsidDel="00000000" w:rsidR="00000000" w:rsidRPr="00000000">
        <w:rPr>
          <w:sz w:val="24"/>
          <w:szCs w:val="24"/>
          <w:rtl w:val="0"/>
        </w:rPr>
        <w:t xml:space="preserve">problem-solving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Listing, and Grouping</w:t>
      </w:r>
    </w:p>
    <w:p w:rsidR="00000000" w:rsidDel="00000000" w:rsidP="00000000" w:rsidRDefault="00000000" w:rsidRPr="00000000" w14:paraId="00000016">
      <w:pPr>
        <w:ind w:left="-566.9291338582677" w:right="-607.7952755905511"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6452395" cy="224591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2395" cy="224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20993" cy="560120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993" cy="5601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empathy-map-canv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Nrhnc0aY6wQq/NpGGHUKaBmlCg==">AMUW2mWHdgv+hSEJOQFjv7wVx/UM0hd+VAnQfXh0rTe0PY0FFRN3HHBbrYKHciWsUuH3zlXf3Bb6AZ7eB1kAG13+JL/l9WE3Z0uw9eRnuDa05D8AVLhMzL4=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