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September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PNT2022TMID06847</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Project - Personal Expense Tracker Application</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w:t>
      </w:r>
      <w:r w:rsidDel="00000000" w:rsidR="00000000" w:rsidRPr="00000000">
        <w:rPr>
          <w:color w:val="2a2a2a"/>
          <w:sz w:val="24"/>
          <w:szCs w:val="24"/>
          <w:rtl w:val="0"/>
        </w:rPr>
        <w:t xml:space="preserve">behaviors</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w:t>
      </w:r>
      <w:r w:rsidDel="00000000" w:rsidR="00000000" w:rsidRPr="00000000">
        <w:rPr>
          <w:color w:val="2a2a2a"/>
          <w:sz w:val="24"/>
          <w:szCs w:val="24"/>
          <w:rtl w:val="0"/>
        </w:rPr>
        <w:t xml:space="preserve">help</w:t>
      </w: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rtl w:val="0"/>
        </w:rPr>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5" name="image1.jpg"/>
            <a:graphic>
              <a:graphicData uri="http://schemas.openxmlformats.org/drawingml/2006/picture">
                <pic:pic>
                  <pic:nvPicPr>
                    <pic:cNvPr descr="Diagram&#10;&#10;Description automatically generated" id="0" name="image1.jpg"/>
                    <pic:cNvPicPr preferRelativeResize="0"/>
                  </pic:nvPicPr>
                  <pic:blipFill>
                    <a:blip r:embed="rId7"/>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ourier New" w:cs="Courier New" w:eastAsia="Courier New" w:hAnsi="Courier New"/>
          <w:color w:val="4b69c6"/>
          <w:sz w:val="21"/>
          <w:szCs w:val="21"/>
          <w:u w:val="singl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both"/>
        <w:rPr>
          <w:b w:val="1"/>
          <w:color w:val="2a2a2a"/>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Default" w:customStyle="1">
    <w:name w:val="Default"/>
    <w:rsid w:val="00B84A22"/>
    <w:pPr>
      <w:autoSpaceDE w:val="0"/>
      <w:autoSpaceDN w:val="0"/>
      <w:adjustRightInd w:val="0"/>
      <w:spacing w:after="0" w:line="240" w:lineRule="auto"/>
    </w:pPr>
    <w:rPr>
      <w:rFonts w:ascii="IBM Plex Sans" w:cs="IBM Plex Sans" w:hAnsi="IBM Plex Sans"/>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n8nl2BoQhqY9NrBLSaHIpvQ0BQ==">AMUW2mXsnMtRve5wM5DmRO6LViFTkOVh713VtLXGXRIc02p9oRHCauwdPJ1X1437Ezq5ri5OtVezt5Ocn8HvSMNEZ8JdYHOzktVlULMr5kJ/woLOlISX35s=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