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37D" w:rsidRDefault="00FA337D" w:rsidP="00FA337D">
      <w:pPr>
        <w:spacing w:line="480" w:lineRule="auto"/>
        <w:jc w:val="center"/>
        <w:rPr>
          <w:rFonts w:asciiTheme="majorBidi" w:eastAsia="SimSun" w:hAnsiTheme="majorBidi"/>
          <w:b/>
          <w:bCs/>
          <w:noProof/>
          <w:sz w:val="24"/>
          <w:szCs w:val="24"/>
          <w:u w:val="single"/>
        </w:rPr>
      </w:pPr>
      <w:bookmarkStart w:id="0" w:name="_GoBack"/>
      <w:bookmarkEnd w:id="0"/>
    </w:p>
    <w:tbl>
      <w:tblPr>
        <w:tblStyle w:val="TableGrid"/>
        <w:tblW w:w="9900" w:type="dxa"/>
        <w:tblInd w:w="198" w:type="dxa"/>
        <w:tblLook w:val="04A0" w:firstRow="1" w:lastRow="0" w:firstColumn="1" w:lastColumn="0" w:noHBand="0" w:noVBand="1"/>
      </w:tblPr>
      <w:tblGrid>
        <w:gridCol w:w="9900"/>
      </w:tblGrid>
      <w:tr w:rsidR="001B666C" w:rsidTr="009A0EC1">
        <w:trPr>
          <w:trHeight w:val="1268"/>
        </w:trPr>
        <w:tc>
          <w:tcPr>
            <w:tcW w:w="9900" w:type="dxa"/>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1" w:name="_Toc412208499"/>
            <w:r w:rsidRPr="001B666C">
              <w:rPr>
                <w:rFonts w:asciiTheme="majorBidi" w:hAnsiTheme="majorBidi" w:cstheme="majorBidi"/>
                <w:sz w:val="38"/>
                <w:szCs w:val="38"/>
              </w:rPr>
              <w:t>Phishing Websites Features</w:t>
            </w:r>
          </w:p>
        </w:tc>
      </w:tr>
    </w:tbl>
    <w:bookmarkEnd w:id="1"/>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6"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9B6C95" w:rsidP="00FA337D">
      <w:pPr>
        <w:pStyle w:val="Default"/>
        <w:spacing w:after="120"/>
        <w:jc w:val="both"/>
        <w:rPr>
          <w:rFonts w:eastAsia="SimSun"/>
          <w:color w:val="auto"/>
          <w:sz w:val="22"/>
          <w:szCs w:val="22"/>
          <w:lang w:val="en-AU" w:eastAsia="zh-CN"/>
        </w:rPr>
      </w:pPr>
      <w:hyperlink r:id="rId8"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lastRenderedPageBreak/>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9"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9B6C95"/>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2FBE"/>
  <w15:docId w15:val="{6773BD11-540F-45F6-8363-3C701B1F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3" Type="http://schemas.openxmlformats.org/officeDocument/2006/relationships/styles" Target="styles.xml"/><Relationship Id="rId7" Type="http://schemas.openxmlformats.org/officeDocument/2006/relationships/hyperlink" Target="http://0x58.0xCC.0xCA.0x62/2/paypal.ca/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5.98.3.123/fak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1050518B-996A-4D86-8D19-1C3806C8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ELCOT</cp:lastModifiedBy>
  <cp:revision>9</cp:revision>
  <cp:lastPrinted>2015-05-31T20:19:00Z</cp:lastPrinted>
  <dcterms:created xsi:type="dcterms:W3CDTF">2015-04-29T21:09:00Z</dcterms:created>
  <dcterms:modified xsi:type="dcterms:W3CDTF">2022-11-17T20:57:00Z</dcterms:modified>
</cp:coreProperties>
</file>