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0E64" w14:textId="457485CE" w:rsidR="00C909BB" w:rsidRDefault="00000000" w:rsidP="0041639E">
      <w:pPr>
        <w:spacing w:after="0" w:line="259" w:lineRule="auto"/>
        <w:ind w:left="0" w:right="0" w:firstLine="0"/>
        <w:jc w:val="left"/>
        <w:rPr>
          <w:rFonts w:ascii="Times New Roman" w:eastAsia="Calibri" w:hAnsi="Times New Roman" w:cs="Times New Roman"/>
          <w:color w:val="000000"/>
          <w:sz w:val="36"/>
          <w:szCs w:val="36"/>
        </w:rPr>
      </w:pPr>
      <w:r w:rsidRPr="0041639E">
        <w:rPr>
          <w:rFonts w:ascii="Times New Roman" w:eastAsia="Calibri" w:hAnsi="Times New Roman" w:cs="Times New Roman"/>
          <w:color w:val="000000"/>
          <w:sz w:val="36"/>
          <w:szCs w:val="36"/>
        </w:rPr>
        <w:t xml:space="preserve">INVENTORY MANAGEMENT SYSTEM FOR RETAILERS </w:t>
      </w:r>
    </w:p>
    <w:p w14:paraId="223DFAFE" w14:textId="77777777" w:rsidR="0041639E" w:rsidRPr="0041639E" w:rsidRDefault="0041639E" w:rsidP="0041639E">
      <w:pPr>
        <w:spacing w:after="0" w:line="259" w:lineRule="auto"/>
        <w:ind w:left="0" w:right="0" w:firstLine="0"/>
        <w:jc w:val="left"/>
        <w:rPr>
          <w:rFonts w:ascii="Times New Roman" w:hAnsi="Times New Roman" w:cs="Times New Roman"/>
          <w:sz w:val="36"/>
          <w:szCs w:val="36"/>
        </w:rPr>
      </w:pPr>
    </w:p>
    <w:p w14:paraId="4391D204" w14:textId="5DAB35C6" w:rsidR="00C909BB" w:rsidRDefault="00000000">
      <w:pPr>
        <w:spacing w:after="247" w:line="265" w:lineRule="auto"/>
        <w:ind w:left="101" w:right="5353" w:firstLine="0"/>
        <w:jc w:val="left"/>
      </w:pPr>
      <w:r>
        <w:rPr>
          <w:rFonts w:ascii="Calibri" w:eastAsia="Calibri" w:hAnsi="Calibri" w:cs="Calibri"/>
          <w:color w:val="000000"/>
          <w:sz w:val="22"/>
        </w:rPr>
        <w:t xml:space="preserve">Domain: Cloud Application Development </w:t>
      </w:r>
    </w:p>
    <w:p w14:paraId="4C32CC6E" w14:textId="77777777" w:rsidR="00C909BB" w:rsidRDefault="00000000">
      <w:pPr>
        <w:pStyle w:val="Heading1"/>
      </w:pPr>
      <w:r>
        <w:t xml:space="preserve">Containerize the app in cloud </w:t>
      </w:r>
    </w:p>
    <w:p w14:paraId="53D96BA8" w14:textId="77777777" w:rsidR="00C909BB" w:rsidRDefault="00000000">
      <w:pPr>
        <w:spacing w:after="7" w:line="302" w:lineRule="auto"/>
        <w:ind w:left="101" w:right="142" w:firstLine="0"/>
        <w:jc w:val="left"/>
      </w:pPr>
      <w:r>
        <w:rPr>
          <w:rFonts w:ascii="Arial" w:eastAsia="Arial" w:hAnsi="Arial" w:cs="Arial"/>
          <w:color w:val="262626"/>
          <w:sz w:val="22"/>
        </w:rPr>
        <w:t>To explore the history of containerization technology, the benefits and advantages of utilizing the technology, and how it is related to virtualization.</w:t>
      </w:r>
      <w:r>
        <w:rPr>
          <w:rFonts w:ascii="Arial" w:eastAsia="Arial" w:hAnsi="Arial" w:cs="Arial"/>
          <w:color w:val="000000"/>
          <w:sz w:val="22"/>
        </w:rPr>
        <w:t xml:space="preserve"> </w:t>
      </w:r>
    </w:p>
    <w:p w14:paraId="5703E1C0" w14:textId="77777777" w:rsidR="00C909BB" w:rsidRDefault="00000000">
      <w:pPr>
        <w:spacing w:after="0" w:line="259" w:lineRule="auto"/>
        <w:ind w:left="0" w:right="0" w:firstLine="0"/>
        <w:jc w:val="left"/>
      </w:pPr>
      <w:r>
        <w:rPr>
          <w:rFonts w:ascii="Arial" w:eastAsia="Arial" w:hAnsi="Arial" w:cs="Arial"/>
          <w:color w:val="000000"/>
          <w:sz w:val="22"/>
        </w:rPr>
        <w:t xml:space="preserve"> </w:t>
      </w:r>
    </w:p>
    <w:p w14:paraId="4AF854CC" w14:textId="77777777" w:rsidR="00C909BB" w:rsidRDefault="00000000">
      <w:pPr>
        <w:spacing w:after="0" w:line="261" w:lineRule="auto"/>
        <w:ind w:left="101" w:right="618" w:firstLine="0"/>
      </w:pPr>
      <w:r>
        <w:rPr>
          <w:rFonts w:ascii="Arial" w:eastAsia="Arial" w:hAnsi="Arial" w:cs="Arial"/>
        </w:rPr>
        <w:t xml:space="preserve">Containerization has become a major trend in software development as an alternative or companion to </w:t>
      </w:r>
      <w:hyperlink r:id="rId5">
        <w:r>
          <w:rPr>
            <w:rFonts w:ascii="Arial" w:eastAsia="Arial" w:hAnsi="Arial" w:cs="Arial"/>
          </w:rPr>
          <w:t>virtualization. I</w:t>
        </w:r>
      </w:hyperlink>
      <w:r>
        <w:rPr>
          <w:rFonts w:ascii="Arial" w:eastAsia="Arial" w:hAnsi="Arial" w:cs="Arial"/>
        </w:rPr>
        <w:t xml:space="preserve">t involves encapsulating or packaging up </w:t>
      </w:r>
      <w:r>
        <w:t xml:space="preserve">software code and all its dependencies so that it can run uniformly and consistently </w:t>
      </w:r>
      <w:r>
        <w:rPr>
          <w:rFonts w:ascii="Arial" w:eastAsia="Arial" w:hAnsi="Arial" w:cs="Arial"/>
        </w:rPr>
        <w:t xml:space="preserve">on any infrastructure. The technology is quickly maturing, resulting in measurable </w:t>
      </w:r>
      <w:r>
        <w:t>benefits for developers and operations teams as well as overall software infrastructure.</w:t>
      </w:r>
      <w:r>
        <w:rPr>
          <w:color w:val="000000"/>
        </w:rPr>
        <w:t xml:space="preserve"> </w:t>
      </w:r>
    </w:p>
    <w:p w14:paraId="33D9EBFA" w14:textId="77777777" w:rsidR="00C909BB" w:rsidRDefault="00000000">
      <w:pPr>
        <w:spacing w:after="0" w:line="259" w:lineRule="auto"/>
        <w:ind w:left="0" w:right="0" w:firstLine="0"/>
        <w:jc w:val="left"/>
      </w:pPr>
      <w:r>
        <w:rPr>
          <w:color w:val="000000"/>
          <w:sz w:val="23"/>
        </w:rPr>
        <w:t xml:space="preserve"> </w:t>
      </w:r>
    </w:p>
    <w:p w14:paraId="4A3EB5CE" w14:textId="77777777" w:rsidR="00C909BB" w:rsidRDefault="00000000">
      <w:pPr>
        <w:ind w:left="96"/>
      </w:pPr>
      <w:r>
        <w:t>Containerization allows developers to create and deploy applications faster and more securely. With traditional methods, code is developed in a specific computing environment which, when transferred to a new location, often results in bugs and errors. For example, when a developer transfers code from a desktop computer to a</w:t>
      </w:r>
      <w:hyperlink r:id="rId6">
        <w:r>
          <w:t xml:space="preserve"> </w:t>
        </w:r>
      </w:hyperlink>
      <w:hyperlink r:id="rId7">
        <w:r>
          <w:rPr>
            <w:color w:val="404040"/>
          </w:rPr>
          <w:t>virtual</w:t>
        </w:r>
      </w:hyperlink>
      <w:hyperlink r:id="rId8">
        <w:r>
          <w:rPr>
            <w:color w:val="404040"/>
          </w:rPr>
          <w:t xml:space="preserve"> </w:t>
        </w:r>
      </w:hyperlink>
      <w:hyperlink r:id="rId9">
        <w:r>
          <w:rPr>
            <w:color w:val="404040"/>
          </w:rPr>
          <w:t>machine</w:t>
        </w:r>
      </w:hyperlink>
      <w:hyperlink r:id="rId10">
        <w:r>
          <w:rPr>
            <w:color w:val="404040"/>
          </w:rPr>
          <w:t xml:space="preserve"> </w:t>
        </w:r>
      </w:hyperlink>
      <w:hyperlink r:id="rId11">
        <w:r>
          <w:t>(</w:t>
        </w:r>
      </w:hyperlink>
      <w:r>
        <w:t>VM) or from a Linux to a Windows operating system.</w:t>
      </w:r>
      <w:r>
        <w:rPr>
          <w:color w:val="000000"/>
        </w:rPr>
        <w:t xml:space="preserve"> </w:t>
      </w:r>
    </w:p>
    <w:p w14:paraId="62D16D76" w14:textId="77777777" w:rsidR="00C909BB" w:rsidRDefault="00000000">
      <w:pPr>
        <w:ind w:left="96" w:right="575"/>
      </w:pPr>
      <w:r>
        <w:t>Containerization eliminates this problem by bundling the application code together with the related configuration files, libraries, and dependencies required for it to run. This single package of software or “container” is abstracted away from the host operating system, and hence, it stands alone and becomes portable—able to run across any platform or cloud, free of issues.</w:t>
      </w:r>
      <w:r>
        <w:rPr>
          <w:color w:val="000000"/>
        </w:rPr>
        <w:t xml:space="preserve"> </w:t>
      </w:r>
    </w:p>
    <w:p w14:paraId="1761289A" w14:textId="77777777" w:rsidR="00C909BB" w:rsidRDefault="00000000">
      <w:pPr>
        <w:spacing w:after="0" w:line="259" w:lineRule="auto"/>
        <w:ind w:left="0" w:right="0" w:firstLine="0"/>
        <w:jc w:val="left"/>
      </w:pPr>
      <w:r>
        <w:rPr>
          <w:color w:val="000000"/>
          <w:sz w:val="23"/>
        </w:rPr>
        <w:t xml:space="preserve"> </w:t>
      </w:r>
    </w:p>
    <w:p w14:paraId="055F6288" w14:textId="77777777" w:rsidR="00C909BB" w:rsidRDefault="00000000">
      <w:pPr>
        <w:ind w:left="96" w:right="575"/>
      </w:pPr>
      <w:r>
        <w:t xml:space="preserve">The concept of containerization and process isolation is decades old, but the emergence of the open source </w:t>
      </w:r>
      <w:hyperlink r:id="rId12">
        <w:r>
          <w:rPr>
            <w:color w:val="404040"/>
          </w:rPr>
          <w:t xml:space="preserve">Docker Engine </w:t>
        </w:r>
      </w:hyperlink>
      <w:hyperlink r:id="rId13">
        <w:r>
          <w:t>i</w:t>
        </w:r>
      </w:hyperlink>
      <w:r>
        <w:t>n 2013, an industry standard for containers with simple developer tools and a universal packaging approach, accelerated the adoption of this technology. Research firm Gartner projects that more than 50% of companies will use container technology by 2020. And results from a late 2017 survey conducted by IBM suggest that adoption is happening even faster, revealing that 59% of adopters improved application quality and reduced defects as a result.</w:t>
      </w:r>
      <w:r>
        <w:rPr>
          <w:color w:val="000000"/>
        </w:rPr>
        <w:t xml:space="preserve"> </w:t>
      </w:r>
    </w:p>
    <w:p w14:paraId="3753B2EE" w14:textId="77777777" w:rsidR="00C909BB" w:rsidRDefault="00000000">
      <w:pPr>
        <w:spacing w:after="0" w:line="259" w:lineRule="auto"/>
        <w:ind w:left="0" w:right="0" w:firstLine="0"/>
        <w:jc w:val="left"/>
      </w:pPr>
      <w:r>
        <w:rPr>
          <w:color w:val="000000"/>
          <w:sz w:val="23"/>
        </w:rPr>
        <w:t xml:space="preserve"> </w:t>
      </w:r>
    </w:p>
    <w:p w14:paraId="21041ECB" w14:textId="77777777" w:rsidR="00C909BB" w:rsidRDefault="00000000">
      <w:pPr>
        <w:ind w:left="96" w:right="575"/>
      </w:pPr>
      <w:hyperlink r:id="rId14">
        <w:r>
          <w:rPr>
            <w:color w:val="3A3838"/>
          </w:rPr>
          <w:t>Containers</w:t>
        </w:r>
      </w:hyperlink>
      <w:hyperlink r:id="rId15">
        <w:r>
          <w:rPr>
            <w:color w:val="3A3838"/>
          </w:rPr>
          <w:t xml:space="preserve"> </w:t>
        </w:r>
      </w:hyperlink>
      <w:hyperlink r:id="rId16">
        <w:r>
          <w:t>a</w:t>
        </w:r>
      </w:hyperlink>
      <w:r>
        <w:t>re often referred to as “lightweight,” meaning they share the machine’s operating system kernel and do not require the overhead of associating an operating system within each application. Containers are inherently smaller in capacity than a VM and require less start-up time, allowing far more containers to</w:t>
      </w:r>
      <w:r>
        <w:rPr>
          <w:color w:val="000000"/>
        </w:rPr>
        <w:t xml:space="preserve"> </w:t>
      </w:r>
      <w:r>
        <w:t xml:space="preserve">run on the same compute capacity as a </w:t>
      </w:r>
      <w:r>
        <w:lastRenderedPageBreak/>
        <w:t>single VM. This drives higher server efficiencies and, in turn, reduces server and licensing costs.</w:t>
      </w:r>
      <w:r>
        <w:rPr>
          <w:color w:val="000000"/>
        </w:rPr>
        <w:t xml:space="preserve"> </w:t>
      </w:r>
    </w:p>
    <w:p w14:paraId="361E0C6A" w14:textId="77777777" w:rsidR="00C909BB" w:rsidRDefault="00000000">
      <w:pPr>
        <w:spacing w:after="0" w:line="259" w:lineRule="auto"/>
        <w:ind w:left="0" w:right="0" w:firstLine="0"/>
        <w:jc w:val="left"/>
      </w:pPr>
      <w:r>
        <w:rPr>
          <w:color w:val="000000"/>
          <w:sz w:val="23"/>
        </w:rPr>
        <w:t xml:space="preserve"> </w:t>
      </w:r>
    </w:p>
    <w:p w14:paraId="39CF20F7" w14:textId="77777777" w:rsidR="00C909BB" w:rsidRDefault="00000000">
      <w:pPr>
        <w:spacing w:after="49"/>
        <w:ind w:left="96" w:right="781"/>
      </w:pPr>
      <w:r>
        <w:t>Put simply, containerization allows applications to be “written once and run anywhere.” This portability is important in terms of the development process and vendor compatibility. It also offers other notable benefits, like fault isolation, ease of management and security, to name a few. Click here to learn more about</w:t>
      </w:r>
      <w:r>
        <w:rPr>
          <w:color w:val="000000"/>
        </w:rPr>
        <w:t xml:space="preserve"> </w:t>
      </w:r>
      <w:r>
        <w:t>the</w:t>
      </w:r>
      <w:hyperlink r:id="rId17">
        <w:r>
          <w:t xml:space="preserve"> </w:t>
        </w:r>
      </w:hyperlink>
      <w:hyperlink r:id="rId18">
        <w:r>
          <w:rPr>
            <w:color w:val="000000"/>
          </w:rPr>
          <w:t>benefits</w:t>
        </w:r>
      </w:hyperlink>
      <w:hyperlink r:id="rId19">
        <w:r>
          <w:rPr>
            <w:color w:val="000000"/>
          </w:rPr>
          <w:t xml:space="preserve"> </w:t>
        </w:r>
      </w:hyperlink>
      <w:hyperlink r:id="rId20">
        <w:r>
          <w:rPr>
            <w:color w:val="000000"/>
          </w:rPr>
          <w:t>of</w:t>
        </w:r>
      </w:hyperlink>
      <w:hyperlink r:id="rId21">
        <w:r>
          <w:rPr>
            <w:color w:val="000000"/>
          </w:rPr>
          <w:t xml:space="preserve"> </w:t>
        </w:r>
      </w:hyperlink>
      <w:hyperlink r:id="rId22">
        <w:r>
          <w:rPr>
            <w:color w:val="000000"/>
          </w:rPr>
          <w:t>containerization</w:t>
        </w:r>
      </w:hyperlink>
      <w:hyperlink r:id="rId23">
        <w:r>
          <w:t>.</w:t>
        </w:r>
      </w:hyperlink>
      <w:r>
        <w:rPr>
          <w:color w:val="000000"/>
        </w:rPr>
        <w:t xml:space="preserve"> </w:t>
      </w:r>
    </w:p>
    <w:p w14:paraId="5A307121" w14:textId="77777777" w:rsidR="00C909BB" w:rsidRDefault="00000000">
      <w:pPr>
        <w:spacing w:after="112" w:line="259" w:lineRule="auto"/>
        <w:ind w:left="0" w:right="0" w:firstLine="0"/>
        <w:jc w:val="left"/>
      </w:pPr>
      <w:r>
        <w:rPr>
          <w:color w:val="000000"/>
          <w:sz w:val="30"/>
        </w:rPr>
        <w:t xml:space="preserve"> </w:t>
      </w:r>
    </w:p>
    <w:p w14:paraId="0F70F12F" w14:textId="77777777" w:rsidR="00C909BB" w:rsidRDefault="00000000">
      <w:pPr>
        <w:spacing w:after="0" w:line="259" w:lineRule="auto"/>
        <w:ind w:left="0" w:right="0" w:firstLine="0"/>
        <w:jc w:val="left"/>
      </w:pPr>
      <w:r>
        <w:rPr>
          <w:color w:val="000000"/>
          <w:sz w:val="44"/>
        </w:rPr>
        <w:t xml:space="preserve"> </w:t>
      </w:r>
    </w:p>
    <w:p w14:paraId="7AE144A7" w14:textId="77777777" w:rsidR="00C909BB" w:rsidRDefault="00000000">
      <w:pPr>
        <w:pStyle w:val="Heading2"/>
        <w:ind w:left="96"/>
      </w:pPr>
      <w:r>
        <w:t>Application containerization</w:t>
      </w:r>
      <w:r>
        <w:rPr>
          <w:color w:val="000000"/>
        </w:rPr>
        <w:t xml:space="preserve"> </w:t>
      </w:r>
    </w:p>
    <w:p w14:paraId="2F13BDCB" w14:textId="77777777" w:rsidR="00C909BB" w:rsidRDefault="00000000">
      <w:pPr>
        <w:spacing w:after="0" w:line="259" w:lineRule="auto"/>
        <w:ind w:left="0" w:right="0" w:firstLine="0"/>
        <w:jc w:val="left"/>
      </w:pPr>
      <w:r>
        <w:rPr>
          <w:rFonts w:ascii="Tahoma" w:eastAsia="Tahoma" w:hAnsi="Tahoma" w:cs="Tahoma"/>
          <w:b/>
          <w:color w:val="000000"/>
          <w:sz w:val="26"/>
        </w:rPr>
        <w:t xml:space="preserve"> </w:t>
      </w:r>
    </w:p>
    <w:p w14:paraId="2364E9CB" w14:textId="77777777" w:rsidR="00C909BB" w:rsidRDefault="00000000">
      <w:pPr>
        <w:ind w:left="96" w:right="0"/>
      </w:pPr>
      <w:r>
        <w:t>Containers is used to encapsulate an application as a single executable package of software that bundles application code together with all of the related configuration files, libraries, and dependencies required for it to run. Containerized applications are “isolated” in that they do not bundle in a copy of the operating system. Instead, an</w:t>
      </w:r>
      <w:r>
        <w:rPr>
          <w:color w:val="000000"/>
        </w:rPr>
        <w:t xml:space="preserve"> </w:t>
      </w:r>
      <w:proofErr w:type="gramStart"/>
      <w:r>
        <w:t>open source</w:t>
      </w:r>
      <w:proofErr w:type="gramEnd"/>
      <w:r>
        <w:t xml:space="preserve"> runtime engine (such as the Docker runtime engine) is installed on the host’s operating system and becomes the conduit for containers to share an operating system with other containers on the same computing system.</w:t>
      </w:r>
      <w:r>
        <w:rPr>
          <w:color w:val="000000"/>
        </w:rPr>
        <w:t xml:space="preserve"> </w:t>
      </w:r>
    </w:p>
    <w:p w14:paraId="7169CA70" w14:textId="77777777" w:rsidR="00C909BB" w:rsidRDefault="00000000">
      <w:pPr>
        <w:spacing w:line="259" w:lineRule="auto"/>
        <w:ind w:left="0" w:right="0" w:firstLine="0"/>
        <w:jc w:val="left"/>
      </w:pPr>
      <w:r>
        <w:rPr>
          <w:color w:val="000000"/>
          <w:sz w:val="22"/>
        </w:rPr>
        <w:t xml:space="preserve"> </w:t>
      </w:r>
    </w:p>
    <w:p w14:paraId="028825A6" w14:textId="77777777" w:rsidR="00C909BB" w:rsidRDefault="00000000">
      <w:pPr>
        <w:ind w:left="96" w:right="575"/>
      </w:pPr>
      <w:r>
        <w:t>Other container layers, like common bins and libraries, can also be shared among multiple containers. This eliminates the overhead of running an operating system within each application and makes containers smaller in capacity and faster to start up, driving higher server efficiencies. The isolation of applications as containers also reduces the chance that malicious code present in one container will impact other containers or invade the host system.</w:t>
      </w:r>
      <w:r>
        <w:rPr>
          <w:color w:val="000000"/>
        </w:rPr>
        <w:t xml:space="preserve"> </w:t>
      </w:r>
    </w:p>
    <w:p w14:paraId="3C1907A1" w14:textId="77777777" w:rsidR="00C909BB" w:rsidRDefault="00000000">
      <w:pPr>
        <w:spacing w:after="0" w:line="259" w:lineRule="auto"/>
        <w:ind w:left="0" w:right="0" w:firstLine="0"/>
        <w:jc w:val="left"/>
      </w:pPr>
      <w:r>
        <w:rPr>
          <w:color w:val="000000"/>
          <w:sz w:val="22"/>
        </w:rPr>
        <w:t xml:space="preserve"> </w:t>
      </w:r>
    </w:p>
    <w:p w14:paraId="2746796B" w14:textId="77777777" w:rsidR="00C909BB" w:rsidRDefault="00000000">
      <w:pPr>
        <w:ind w:left="96" w:right="677"/>
      </w:pPr>
      <w:r>
        <w:t>The abstraction from the host operating system makes containerized applications portable and able to run uniformly and consistently across any platform or cloud. Containers can be easily transported from a desktop computer to a virtual machine (VM) or from a Linux to a Windows operating system, and they will run consistently on virtualized infrastructures or on traditional “bare metal” servers, either on- premise or in the cloud. This ensures that software developers can continue using the tools and processes they are most comfortable with.</w:t>
      </w:r>
      <w:r>
        <w:rPr>
          <w:color w:val="000000"/>
        </w:rPr>
        <w:t xml:space="preserve"> </w:t>
      </w:r>
    </w:p>
    <w:p w14:paraId="55ACC4C1" w14:textId="77777777" w:rsidR="00C909BB" w:rsidRDefault="00000000">
      <w:pPr>
        <w:spacing w:after="0" w:line="259" w:lineRule="auto"/>
        <w:ind w:left="0" w:right="0" w:firstLine="0"/>
        <w:jc w:val="left"/>
      </w:pPr>
      <w:r>
        <w:rPr>
          <w:color w:val="000000"/>
          <w:sz w:val="23"/>
        </w:rPr>
        <w:t xml:space="preserve"> </w:t>
      </w:r>
    </w:p>
    <w:p w14:paraId="6004F382" w14:textId="77777777" w:rsidR="00C909BB" w:rsidRDefault="00000000">
      <w:pPr>
        <w:ind w:left="96" w:right="575"/>
      </w:pPr>
      <w:r>
        <w:t xml:space="preserve">One can see why enterprises are rapidly adopting containerization as a superior approach to application development and management. Containerization allows developers to create and deploy applications faster and more securely, whether the application is a traditional monolith (a single-tiered software application) or a modular microservice (a collection </w:t>
      </w:r>
      <w:r>
        <w:lastRenderedPageBreak/>
        <w:t>of loosely coupled services). New cloud-based applications can be built from the ground up as containerized microservices, breaking a complex application into a series of smaller specialized and manageable services. Existing applications can be repackaged into containers (or containerized microservices) that use compute resources more efficiently.</w:t>
      </w:r>
      <w:r>
        <w:rPr>
          <w:color w:val="000000"/>
        </w:rPr>
        <w:t xml:space="preserve"> </w:t>
      </w:r>
    </w:p>
    <w:p w14:paraId="38FEA26F" w14:textId="77777777" w:rsidR="00C909BB" w:rsidRDefault="00000000">
      <w:pPr>
        <w:pStyle w:val="Heading2"/>
        <w:ind w:left="96"/>
      </w:pPr>
      <w:r>
        <w:t>Benefits</w:t>
      </w:r>
      <w:r>
        <w:rPr>
          <w:color w:val="000000"/>
        </w:rPr>
        <w:t xml:space="preserve"> </w:t>
      </w:r>
    </w:p>
    <w:p w14:paraId="1BAA5EDC" w14:textId="77777777" w:rsidR="00C909BB" w:rsidRDefault="00000000">
      <w:pPr>
        <w:spacing w:after="0" w:line="259" w:lineRule="auto"/>
        <w:ind w:left="0" w:right="0" w:firstLine="0"/>
        <w:jc w:val="left"/>
      </w:pPr>
      <w:r>
        <w:rPr>
          <w:rFonts w:ascii="Tahoma" w:eastAsia="Tahoma" w:hAnsi="Tahoma" w:cs="Tahoma"/>
          <w:b/>
          <w:color w:val="000000"/>
          <w:sz w:val="26"/>
        </w:rPr>
        <w:t xml:space="preserve"> </w:t>
      </w:r>
    </w:p>
    <w:p w14:paraId="7205CBED" w14:textId="77777777" w:rsidR="00C909BB" w:rsidRDefault="00000000">
      <w:pPr>
        <w:ind w:left="96" w:right="575"/>
      </w:pPr>
      <w:r>
        <w:t>Containerization offers significant benefits to developers and development teams. Among these are the following:</w:t>
      </w:r>
      <w:r>
        <w:rPr>
          <w:color w:val="000000"/>
        </w:rPr>
        <w:t xml:space="preserve"> </w:t>
      </w:r>
    </w:p>
    <w:p w14:paraId="636D312A" w14:textId="77777777" w:rsidR="00C909BB" w:rsidRDefault="00000000">
      <w:pPr>
        <w:spacing w:after="0" w:line="259" w:lineRule="auto"/>
        <w:ind w:left="0" w:right="0" w:firstLine="0"/>
        <w:jc w:val="left"/>
      </w:pPr>
      <w:r>
        <w:rPr>
          <w:color w:val="000000"/>
          <w:sz w:val="23"/>
        </w:rPr>
        <w:t xml:space="preserve"> </w:t>
      </w:r>
    </w:p>
    <w:p w14:paraId="6F041204" w14:textId="77777777" w:rsidR="00C909BB" w:rsidRDefault="00000000">
      <w:pPr>
        <w:numPr>
          <w:ilvl w:val="0"/>
          <w:numId w:val="1"/>
        </w:numPr>
        <w:spacing w:after="12" w:line="254" w:lineRule="auto"/>
        <w:ind w:right="590" w:hanging="360"/>
      </w:pPr>
      <w:r>
        <w:rPr>
          <w:rFonts w:ascii="Tahoma" w:eastAsia="Tahoma" w:hAnsi="Tahoma" w:cs="Tahoma"/>
          <w:b/>
          <w:sz w:val="22"/>
        </w:rPr>
        <w:t xml:space="preserve">Portability: </w:t>
      </w:r>
      <w:r>
        <w:rPr>
          <w:sz w:val="22"/>
        </w:rPr>
        <w:t>A container creates an executable package of software that is abstracted away from (not tied to or dependent upon) the host operating system, and hence, is portable and able to run uniformly and consistently across any platform or cloud.</w:t>
      </w:r>
      <w:r>
        <w:rPr>
          <w:rFonts w:ascii="Segoe UI Symbol" w:eastAsia="Segoe UI Symbol" w:hAnsi="Segoe UI Symbol" w:cs="Segoe UI Symbol"/>
          <w:sz w:val="20"/>
        </w:rPr>
        <w:t></w:t>
      </w:r>
    </w:p>
    <w:p w14:paraId="0A3403AA" w14:textId="77777777" w:rsidR="00C909BB" w:rsidRDefault="00000000">
      <w:pPr>
        <w:numPr>
          <w:ilvl w:val="0"/>
          <w:numId w:val="1"/>
        </w:numPr>
        <w:spacing w:after="12" w:line="254" w:lineRule="auto"/>
        <w:ind w:right="590" w:hanging="360"/>
      </w:pPr>
      <w:r>
        <w:rPr>
          <w:rFonts w:ascii="Tahoma" w:eastAsia="Tahoma" w:hAnsi="Tahoma" w:cs="Tahoma"/>
          <w:b/>
          <w:sz w:val="22"/>
        </w:rPr>
        <w:t xml:space="preserve">Agility: </w:t>
      </w:r>
      <w:r>
        <w:rPr>
          <w:sz w:val="22"/>
        </w:rPr>
        <w:t xml:space="preserve">The </w:t>
      </w:r>
      <w:proofErr w:type="gramStart"/>
      <w:r>
        <w:rPr>
          <w:sz w:val="22"/>
        </w:rPr>
        <w:t>open source</w:t>
      </w:r>
      <w:proofErr w:type="gramEnd"/>
      <w:r>
        <w:rPr>
          <w:sz w:val="22"/>
        </w:rPr>
        <w:t xml:space="preserve"> Docker Engine for running containers started the industry standard for containers with simple developer tools and a universal packaging approach that works on both Linux and Windows operating systems. The </w:t>
      </w:r>
      <w:proofErr w:type="spellStart"/>
      <w:r>
        <w:rPr>
          <w:sz w:val="22"/>
        </w:rPr>
        <w:t>conta</w:t>
      </w:r>
      <w:proofErr w:type="spellEnd"/>
      <w:r>
        <w:rPr>
          <w:sz w:val="22"/>
        </w:rPr>
        <w:t xml:space="preserve"> </w:t>
      </w:r>
      <w:proofErr w:type="spellStart"/>
      <w:r>
        <w:rPr>
          <w:sz w:val="22"/>
        </w:rPr>
        <w:t>iner</w:t>
      </w:r>
      <w:proofErr w:type="spellEnd"/>
      <w:r>
        <w:rPr>
          <w:sz w:val="22"/>
        </w:rPr>
        <w:t xml:space="preserve"> ecosystem has shifted to engines managed by the Open Container Initiative (OCI). Software developers can continue using agile or </w:t>
      </w:r>
      <w:hyperlink r:id="rId24">
        <w:r>
          <w:rPr>
            <w:color w:val="404040"/>
            <w:sz w:val="22"/>
          </w:rPr>
          <w:t xml:space="preserve">DevOps </w:t>
        </w:r>
      </w:hyperlink>
      <w:hyperlink r:id="rId25">
        <w:r>
          <w:rPr>
            <w:sz w:val="22"/>
          </w:rPr>
          <w:t>t</w:t>
        </w:r>
      </w:hyperlink>
      <w:r>
        <w:rPr>
          <w:sz w:val="22"/>
        </w:rPr>
        <w:t>ools and processes for rapid application development and enhancement.</w:t>
      </w:r>
      <w:r>
        <w:rPr>
          <w:rFonts w:ascii="Segoe UI Symbol" w:eastAsia="Segoe UI Symbol" w:hAnsi="Segoe UI Symbol" w:cs="Segoe UI Symbol"/>
          <w:sz w:val="20"/>
        </w:rPr>
        <w:t></w:t>
      </w:r>
    </w:p>
    <w:p w14:paraId="087D4CEE" w14:textId="77777777" w:rsidR="00C909BB" w:rsidRDefault="00000000">
      <w:pPr>
        <w:numPr>
          <w:ilvl w:val="0"/>
          <w:numId w:val="1"/>
        </w:numPr>
        <w:spacing w:after="12" w:line="254" w:lineRule="auto"/>
        <w:ind w:right="590" w:hanging="360"/>
      </w:pPr>
      <w:r>
        <w:rPr>
          <w:rFonts w:ascii="Tahoma" w:eastAsia="Tahoma" w:hAnsi="Tahoma" w:cs="Tahoma"/>
          <w:b/>
          <w:sz w:val="22"/>
        </w:rPr>
        <w:t xml:space="preserve">Speed: </w:t>
      </w:r>
      <w:r>
        <w:rPr>
          <w:sz w:val="22"/>
        </w:rPr>
        <w:t>Containers are often referred to as “lightweight,” meaning they share the machine’s operating system (OS) kernel and are not bogged down with this extra overhead. Not only does this drive higher server efficiencies, it also reduces server and licensing costs while speeding up start-times as there is no operating system to boot.</w:t>
      </w:r>
      <w:r>
        <w:rPr>
          <w:rFonts w:ascii="Segoe UI Symbol" w:eastAsia="Segoe UI Symbol" w:hAnsi="Segoe UI Symbol" w:cs="Segoe UI Symbol"/>
          <w:sz w:val="20"/>
        </w:rPr>
        <w:t></w:t>
      </w:r>
    </w:p>
    <w:p w14:paraId="49FCF477" w14:textId="77777777" w:rsidR="00C909BB" w:rsidRDefault="00000000">
      <w:pPr>
        <w:numPr>
          <w:ilvl w:val="0"/>
          <w:numId w:val="1"/>
        </w:numPr>
        <w:spacing w:after="12" w:line="254" w:lineRule="auto"/>
        <w:ind w:right="590" w:hanging="360"/>
      </w:pPr>
      <w:r>
        <w:rPr>
          <w:rFonts w:ascii="Tahoma" w:eastAsia="Tahoma" w:hAnsi="Tahoma" w:cs="Tahoma"/>
          <w:b/>
          <w:sz w:val="22"/>
        </w:rPr>
        <w:t xml:space="preserve">Fault isolation: </w:t>
      </w:r>
      <w:r>
        <w:rPr>
          <w:sz w:val="22"/>
        </w:rPr>
        <w:t xml:space="preserve">Each containerized application is isolated and operates independently of others. The failure of one container does not affect the continued operation of any other containers. Development teams can identify and correct any technical issues within one container without any downtime in other containers. Also, the container engine can leverage any OS security isolation techniques—such as </w:t>
      </w:r>
      <w:proofErr w:type="spellStart"/>
      <w:r>
        <w:rPr>
          <w:sz w:val="22"/>
        </w:rPr>
        <w:t>SELinux</w:t>
      </w:r>
      <w:proofErr w:type="spellEnd"/>
      <w:r>
        <w:rPr>
          <w:sz w:val="22"/>
        </w:rPr>
        <w:t xml:space="preserve"> access control—to isolate faults within containers.</w:t>
      </w:r>
      <w:r>
        <w:rPr>
          <w:rFonts w:ascii="Segoe UI Symbol" w:eastAsia="Segoe UI Symbol" w:hAnsi="Segoe UI Symbol" w:cs="Segoe UI Symbol"/>
          <w:sz w:val="20"/>
        </w:rPr>
        <w:t></w:t>
      </w:r>
    </w:p>
    <w:p w14:paraId="083B674E" w14:textId="77777777" w:rsidR="00C909BB" w:rsidRDefault="00000000">
      <w:pPr>
        <w:numPr>
          <w:ilvl w:val="0"/>
          <w:numId w:val="1"/>
        </w:numPr>
        <w:spacing w:after="12" w:line="254" w:lineRule="auto"/>
        <w:ind w:right="590" w:hanging="360"/>
      </w:pPr>
      <w:r>
        <w:rPr>
          <w:rFonts w:ascii="Tahoma" w:eastAsia="Tahoma" w:hAnsi="Tahoma" w:cs="Tahoma"/>
          <w:b/>
          <w:sz w:val="22"/>
        </w:rPr>
        <w:t xml:space="preserve">Efficiency: </w:t>
      </w:r>
      <w:r>
        <w:rPr>
          <w:sz w:val="22"/>
        </w:rPr>
        <w:t>Software running in containerized environments shares the machine’s OS kernel, and application layers within a container can be shared across containers. Thus, containers are inherently smaller in capacity than a VM and require less start-up time, allowing far more containers to run on the same compute capacity as a single VM. This drives higher server efficiencies, reducing server and licensing costs.</w:t>
      </w:r>
      <w:r>
        <w:rPr>
          <w:rFonts w:ascii="Segoe UI Symbol" w:eastAsia="Segoe UI Symbol" w:hAnsi="Segoe UI Symbol" w:cs="Segoe UI Symbol"/>
          <w:sz w:val="20"/>
        </w:rPr>
        <w:t></w:t>
      </w:r>
    </w:p>
    <w:p w14:paraId="69F6C84A" w14:textId="77777777" w:rsidR="00C909BB" w:rsidRDefault="00000000">
      <w:pPr>
        <w:numPr>
          <w:ilvl w:val="0"/>
          <w:numId w:val="1"/>
        </w:numPr>
        <w:spacing w:after="12" w:line="254" w:lineRule="auto"/>
        <w:ind w:right="590" w:hanging="360"/>
      </w:pPr>
      <w:r>
        <w:rPr>
          <w:rFonts w:ascii="Tahoma" w:eastAsia="Tahoma" w:hAnsi="Tahoma" w:cs="Tahoma"/>
          <w:b/>
          <w:sz w:val="22"/>
        </w:rPr>
        <w:t xml:space="preserve">Ease of management: </w:t>
      </w:r>
      <w:r>
        <w:rPr>
          <w:sz w:val="22"/>
        </w:rPr>
        <w:t xml:space="preserve">A </w:t>
      </w:r>
      <w:hyperlink r:id="rId26">
        <w:r>
          <w:rPr>
            <w:color w:val="404040"/>
            <w:sz w:val="22"/>
          </w:rPr>
          <w:t xml:space="preserve">container orchestration </w:t>
        </w:r>
      </w:hyperlink>
      <w:hyperlink r:id="rId27">
        <w:r>
          <w:rPr>
            <w:sz w:val="22"/>
          </w:rPr>
          <w:t>p</w:t>
        </w:r>
      </w:hyperlink>
      <w:r>
        <w:rPr>
          <w:sz w:val="22"/>
        </w:rPr>
        <w:t xml:space="preserve">latform automates the installation, scaling, and management of containerized workloads and services. Container orchestration platforms can ease management tasks such as scaling containerized apps, rolling out new versions of apps, and providing monitoring, logging and debugging, among other functions. </w:t>
      </w:r>
      <w:hyperlink r:id="rId28">
        <w:r>
          <w:rPr>
            <w:color w:val="404040"/>
            <w:sz w:val="22"/>
          </w:rPr>
          <w:t>Kubernetes</w:t>
        </w:r>
      </w:hyperlink>
      <w:hyperlink r:id="rId29">
        <w:r>
          <w:rPr>
            <w:sz w:val="22"/>
          </w:rPr>
          <w:t>,</w:t>
        </w:r>
      </w:hyperlink>
      <w:r>
        <w:rPr>
          <w:sz w:val="22"/>
        </w:rPr>
        <w:t xml:space="preserve"> perhaps the most popular container orchestration system available, is an </w:t>
      </w:r>
      <w:proofErr w:type="gramStart"/>
      <w:r>
        <w:rPr>
          <w:sz w:val="22"/>
        </w:rPr>
        <w:t>open source</w:t>
      </w:r>
      <w:proofErr w:type="gramEnd"/>
      <w:r>
        <w:rPr>
          <w:sz w:val="22"/>
        </w:rPr>
        <w:t xml:space="preserve"> technology (originally open-sourced by Google, based on their internal project called Borg) that automates Linux container </w:t>
      </w:r>
      <w:r>
        <w:rPr>
          <w:sz w:val="22"/>
        </w:rPr>
        <w:lastRenderedPageBreak/>
        <w:t>functions originally. Kubernetes works with many container engines, such as Docker, but it also works with any container system that conforms to the Open Container Initiative (OCI) standards for container image formats and runtimes.</w:t>
      </w:r>
      <w:r>
        <w:rPr>
          <w:rFonts w:ascii="Segoe UI Symbol" w:eastAsia="Segoe UI Symbol" w:hAnsi="Segoe UI Symbol" w:cs="Segoe UI Symbol"/>
          <w:sz w:val="20"/>
        </w:rPr>
        <w:t></w:t>
      </w:r>
    </w:p>
    <w:p w14:paraId="3B6EBE7C" w14:textId="77777777" w:rsidR="00C909BB" w:rsidRDefault="00000000">
      <w:pPr>
        <w:numPr>
          <w:ilvl w:val="0"/>
          <w:numId w:val="1"/>
        </w:numPr>
        <w:spacing w:after="12" w:line="254" w:lineRule="auto"/>
        <w:ind w:right="590" w:hanging="360"/>
      </w:pPr>
      <w:r>
        <w:rPr>
          <w:rFonts w:ascii="Tahoma" w:eastAsia="Tahoma" w:hAnsi="Tahoma" w:cs="Tahoma"/>
          <w:b/>
          <w:sz w:val="22"/>
        </w:rPr>
        <w:t xml:space="preserve">Security: </w:t>
      </w:r>
      <w:r>
        <w:rPr>
          <w:sz w:val="22"/>
        </w:rPr>
        <w:t>The isolation of applications as containers inherently prevents the invasion of malicious code from affecting other containers or the host system. Additionally, security permissions can be defined to automatically block unwanted components from entering containers or limit communications with unnecessary resources.</w:t>
      </w:r>
      <w:r>
        <w:rPr>
          <w:rFonts w:ascii="Segoe UI Symbol" w:eastAsia="Segoe UI Symbol" w:hAnsi="Segoe UI Symbol" w:cs="Segoe UI Symbol"/>
          <w:sz w:val="20"/>
        </w:rPr>
        <w:t></w:t>
      </w:r>
    </w:p>
    <w:p w14:paraId="228E81B3" w14:textId="77777777" w:rsidR="00C909BB" w:rsidRDefault="00000000">
      <w:pPr>
        <w:pStyle w:val="Heading2"/>
        <w:ind w:left="96"/>
      </w:pPr>
      <w:r>
        <w:t>Types</w:t>
      </w:r>
      <w:r>
        <w:rPr>
          <w:color w:val="000000"/>
        </w:rPr>
        <w:t xml:space="preserve"> </w:t>
      </w:r>
    </w:p>
    <w:p w14:paraId="50128405" w14:textId="77777777" w:rsidR="00C909BB" w:rsidRDefault="00000000">
      <w:pPr>
        <w:spacing w:after="0" w:line="259" w:lineRule="auto"/>
        <w:ind w:left="0" w:right="0" w:firstLine="0"/>
        <w:jc w:val="left"/>
      </w:pPr>
      <w:r>
        <w:rPr>
          <w:rFonts w:ascii="Tahoma" w:eastAsia="Tahoma" w:hAnsi="Tahoma" w:cs="Tahoma"/>
          <w:b/>
          <w:color w:val="000000"/>
          <w:sz w:val="26"/>
        </w:rPr>
        <w:t xml:space="preserve"> </w:t>
      </w:r>
    </w:p>
    <w:p w14:paraId="715FA568" w14:textId="77777777" w:rsidR="00C909BB" w:rsidRDefault="00000000">
      <w:pPr>
        <w:ind w:left="96" w:right="575"/>
      </w:pPr>
      <w:r>
        <w:t xml:space="preserve">The rapid growth in interest and usage of container-based solutions has led to the need for standards around container technology and the approach to packaging software code. The Open Container Initiative (OCI), established in June 2015 by Docker and other industry leaders, is promoting common, minimal, open standards and specifications around container technology. Because of this, the OCI is helping to broaden the choices for </w:t>
      </w:r>
      <w:proofErr w:type="gramStart"/>
      <w:r>
        <w:t>open source</w:t>
      </w:r>
      <w:proofErr w:type="gramEnd"/>
      <w:r>
        <w:t xml:space="preserve"> engines. Users will not be locked into a particular vendor’s technology, but rather they will be able to take advantage of OCI-certified technologies that allow them to build containerized applications using a diverse set of DevOps tools and run these consistently on the infrastructure(s) of their choosing.</w:t>
      </w:r>
      <w:r>
        <w:rPr>
          <w:color w:val="000000"/>
        </w:rPr>
        <w:t xml:space="preserve"> </w:t>
      </w:r>
    </w:p>
    <w:p w14:paraId="7D596EB4" w14:textId="77777777" w:rsidR="00C909BB" w:rsidRDefault="00000000">
      <w:pPr>
        <w:spacing w:after="0" w:line="259" w:lineRule="auto"/>
        <w:ind w:left="0" w:right="0" w:firstLine="0"/>
        <w:jc w:val="left"/>
      </w:pPr>
      <w:r>
        <w:rPr>
          <w:color w:val="000000"/>
          <w:sz w:val="23"/>
        </w:rPr>
        <w:t xml:space="preserve"> </w:t>
      </w:r>
    </w:p>
    <w:p w14:paraId="6AF8ED31" w14:textId="77777777" w:rsidR="00C909BB" w:rsidRDefault="00000000">
      <w:pPr>
        <w:ind w:left="96" w:right="691"/>
      </w:pPr>
      <w:r>
        <w:t xml:space="preserve">Today, Docker is one of the most well-known and highly used container engine technologies, but it is not the only option available. The ecosystem is standardizing on </w:t>
      </w:r>
      <w:proofErr w:type="spellStart"/>
      <w:r>
        <w:t>containerd</w:t>
      </w:r>
      <w:proofErr w:type="spellEnd"/>
      <w:r>
        <w:t xml:space="preserve"> and other alternatives like CoreOS </w:t>
      </w:r>
      <w:proofErr w:type="spellStart"/>
      <w:r>
        <w:t>rkt</w:t>
      </w:r>
      <w:proofErr w:type="spellEnd"/>
      <w:r>
        <w:t xml:space="preserve">, Mesos </w:t>
      </w:r>
      <w:proofErr w:type="spellStart"/>
      <w:r>
        <w:t>Containerizer</w:t>
      </w:r>
      <w:proofErr w:type="spellEnd"/>
      <w:r>
        <w:t xml:space="preserve">, LXC Linux Containers, </w:t>
      </w:r>
      <w:proofErr w:type="spellStart"/>
      <w:r>
        <w:t>OpenVZ</w:t>
      </w:r>
      <w:proofErr w:type="spellEnd"/>
      <w:r>
        <w:t xml:space="preserve">, and </w:t>
      </w:r>
      <w:proofErr w:type="spellStart"/>
      <w:r>
        <w:t>crio</w:t>
      </w:r>
      <w:proofErr w:type="spellEnd"/>
      <w:r>
        <w:t>-d. Features and defaults may differ, but adopting and leveraging OCI specifications as these evolve will ensure that solutions are vendor-neutral, certified to run on multiple operating systems and usable in multiple environments.</w:t>
      </w:r>
      <w:r>
        <w:rPr>
          <w:color w:val="000000"/>
        </w:rPr>
        <w:t xml:space="preserve"> </w:t>
      </w:r>
    </w:p>
    <w:p w14:paraId="6AB0701A" w14:textId="77777777" w:rsidR="00C909BB" w:rsidRDefault="00000000">
      <w:pPr>
        <w:spacing w:after="7" w:line="259" w:lineRule="auto"/>
        <w:ind w:left="0" w:right="0" w:firstLine="0"/>
        <w:jc w:val="left"/>
      </w:pPr>
      <w:r>
        <w:rPr>
          <w:color w:val="000000"/>
          <w:sz w:val="23"/>
        </w:rPr>
        <w:t xml:space="preserve"> </w:t>
      </w:r>
    </w:p>
    <w:p w14:paraId="0DC986AA" w14:textId="77777777" w:rsidR="00C909BB" w:rsidRDefault="00000000">
      <w:pPr>
        <w:pStyle w:val="Heading2"/>
        <w:ind w:left="96"/>
      </w:pPr>
      <w:r>
        <w:t>Microservices and containerization</w:t>
      </w:r>
      <w:r>
        <w:rPr>
          <w:color w:val="000000"/>
        </w:rPr>
        <w:t xml:space="preserve"> </w:t>
      </w:r>
    </w:p>
    <w:p w14:paraId="073FECD8" w14:textId="77777777" w:rsidR="00C909BB" w:rsidRDefault="00000000">
      <w:pPr>
        <w:spacing w:after="0" w:line="259" w:lineRule="auto"/>
        <w:ind w:left="0" w:right="0" w:firstLine="0"/>
        <w:jc w:val="left"/>
      </w:pPr>
      <w:r>
        <w:rPr>
          <w:rFonts w:ascii="Tahoma" w:eastAsia="Tahoma" w:hAnsi="Tahoma" w:cs="Tahoma"/>
          <w:b/>
          <w:color w:val="000000"/>
          <w:sz w:val="26"/>
        </w:rPr>
        <w:t xml:space="preserve"> </w:t>
      </w:r>
    </w:p>
    <w:p w14:paraId="3A6DE014" w14:textId="77777777" w:rsidR="00C909BB" w:rsidRDefault="00000000">
      <w:pPr>
        <w:ind w:left="96" w:right="816"/>
      </w:pPr>
      <w:r>
        <w:t>Software companies large and small are embracing microservices as a superior approach to application development and management, compared to the earlier monolithic model that combines a software application with the associated user interface and underlying database into a single unit on a single server platform. With microservices, a complex application is broken up into a series of smaller, more specialized services, each with its own</w:t>
      </w:r>
      <w:hyperlink r:id="rId30">
        <w:r>
          <w:t xml:space="preserve"> </w:t>
        </w:r>
      </w:hyperlink>
      <w:hyperlink r:id="rId31">
        <w:r>
          <w:rPr>
            <w:color w:val="404040"/>
          </w:rPr>
          <w:t>database</w:t>
        </w:r>
      </w:hyperlink>
      <w:hyperlink r:id="rId32">
        <w:r>
          <w:rPr>
            <w:color w:val="404040"/>
          </w:rPr>
          <w:t xml:space="preserve"> </w:t>
        </w:r>
      </w:hyperlink>
      <w:hyperlink r:id="rId33">
        <w:r>
          <w:t>a</w:t>
        </w:r>
      </w:hyperlink>
      <w:r>
        <w:t xml:space="preserve">nd its own business logic. Microservices then communicate with each other across common interfaces (like APIs) and REST interfaces (like HTTP). Using microservices, development teams can focus on updating specific areas </w:t>
      </w:r>
      <w:r>
        <w:lastRenderedPageBreak/>
        <w:t>of an application without impacting it as a whole, resulting in faster development, testing, and deployment.</w:t>
      </w:r>
      <w:r>
        <w:rPr>
          <w:color w:val="000000"/>
        </w:rPr>
        <w:t xml:space="preserve"> </w:t>
      </w:r>
    </w:p>
    <w:p w14:paraId="243A2F4B" w14:textId="77777777" w:rsidR="00C909BB" w:rsidRDefault="00000000">
      <w:pPr>
        <w:spacing w:after="0" w:line="259" w:lineRule="auto"/>
        <w:ind w:left="0" w:right="0" w:firstLine="0"/>
        <w:jc w:val="left"/>
      </w:pPr>
      <w:r>
        <w:rPr>
          <w:color w:val="000000"/>
          <w:sz w:val="23"/>
        </w:rPr>
        <w:t xml:space="preserve"> </w:t>
      </w:r>
    </w:p>
    <w:p w14:paraId="6735036C" w14:textId="77777777" w:rsidR="00C909BB" w:rsidRDefault="00000000">
      <w:pPr>
        <w:ind w:left="96" w:right="575"/>
      </w:pPr>
      <w:r>
        <w:t>The concepts behind microservices and containerization are similar as both are software development practices that essentially transform applications into collections of smaller services or components which are portable, scalable, efficient and easier to manage.</w:t>
      </w:r>
      <w:r>
        <w:rPr>
          <w:color w:val="000000"/>
        </w:rPr>
        <w:t xml:space="preserve"> </w:t>
      </w:r>
    </w:p>
    <w:p w14:paraId="77D12265" w14:textId="77777777" w:rsidR="00C909BB" w:rsidRDefault="00000000">
      <w:pPr>
        <w:spacing w:after="0" w:line="259" w:lineRule="auto"/>
        <w:ind w:left="0" w:right="0" w:firstLine="0"/>
        <w:jc w:val="left"/>
      </w:pPr>
      <w:r>
        <w:rPr>
          <w:color w:val="000000"/>
          <w:sz w:val="22"/>
        </w:rPr>
        <w:t xml:space="preserve"> </w:t>
      </w:r>
    </w:p>
    <w:p w14:paraId="2D216691" w14:textId="77777777" w:rsidR="00C909BB" w:rsidRDefault="00000000">
      <w:pPr>
        <w:ind w:left="96" w:right="689"/>
      </w:pPr>
      <w:r>
        <w:t xml:space="preserve">Moreover, microservices and containerization work well when used together. Containers provide a lightweight encapsulation of any application, whether it is a traditional monolith or a modular microservice. A microservice, developed within a </w:t>
      </w:r>
    </w:p>
    <w:p w14:paraId="75689579" w14:textId="77777777" w:rsidR="00C909BB" w:rsidRDefault="00000000">
      <w:pPr>
        <w:ind w:left="96" w:right="689"/>
      </w:pPr>
      <w:r>
        <w:t>container, then gains all of the inherent benefits of containerization—portability in terms of the development process and vendor compatibility (no vendor lock-in), as</w:t>
      </w:r>
      <w:r>
        <w:rPr>
          <w:color w:val="000000"/>
        </w:rPr>
        <w:t xml:space="preserve"> </w:t>
      </w:r>
      <w:r>
        <w:t>well as developer agility, fault isolation, server efficiencies, automation of installation, scaling and management, and layers of security, among others.</w:t>
      </w:r>
      <w:r>
        <w:rPr>
          <w:color w:val="000000"/>
        </w:rPr>
        <w:t xml:space="preserve"> </w:t>
      </w:r>
    </w:p>
    <w:p w14:paraId="483B4A21" w14:textId="77777777" w:rsidR="00C909BB" w:rsidRDefault="00000000">
      <w:pPr>
        <w:spacing w:after="0" w:line="259" w:lineRule="auto"/>
        <w:ind w:left="0" w:right="0" w:firstLine="0"/>
        <w:jc w:val="left"/>
      </w:pPr>
      <w:r>
        <w:rPr>
          <w:color w:val="000000"/>
          <w:sz w:val="23"/>
        </w:rPr>
        <w:t xml:space="preserve"> </w:t>
      </w:r>
    </w:p>
    <w:p w14:paraId="2597A18A" w14:textId="77777777" w:rsidR="00C909BB" w:rsidRDefault="00000000">
      <w:pPr>
        <w:ind w:left="96" w:right="733"/>
      </w:pPr>
      <w:r>
        <w:t>Today’s communications are rapidly moving to the cloud where users can develop applications quickly and efficiently. Cloud-based applications and data are accessible from any internet-connected device, allowing team members to work remotely and on-the-go. Cloud service providers (CSPs) manage the underlying infrastructure, which saves organizations the cost of servers and other equipment and also provides automated network backups for additional reliability. Cloud infrastructures scale on demand and can dynamically adjust computing resources, capacity, and infrastructure as load requirements change. On top of that, CSPs regularly update offerings, giving users continued access to the latest innovative technology.</w:t>
      </w:r>
      <w:r>
        <w:rPr>
          <w:color w:val="000000"/>
        </w:rPr>
        <w:t xml:space="preserve"> </w:t>
      </w:r>
    </w:p>
    <w:p w14:paraId="451D04E6" w14:textId="77777777" w:rsidR="00C909BB" w:rsidRDefault="00000000">
      <w:pPr>
        <w:spacing w:after="0" w:line="259" w:lineRule="auto"/>
        <w:ind w:left="0" w:right="0" w:firstLine="0"/>
        <w:jc w:val="left"/>
      </w:pPr>
      <w:r>
        <w:rPr>
          <w:color w:val="000000"/>
          <w:sz w:val="23"/>
        </w:rPr>
        <w:t xml:space="preserve"> </w:t>
      </w:r>
    </w:p>
    <w:p w14:paraId="0551B643" w14:textId="77777777" w:rsidR="00C909BB" w:rsidRDefault="00000000">
      <w:pPr>
        <w:ind w:left="96" w:right="828"/>
      </w:pPr>
      <w:r>
        <w:t xml:space="preserve">Containers, microservices, and </w:t>
      </w:r>
      <w:hyperlink r:id="rId34">
        <w:r>
          <w:rPr>
            <w:color w:val="404040"/>
          </w:rPr>
          <w:t xml:space="preserve">cloud computing </w:t>
        </w:r>
      </w:hyperlink>
      <w:hyperlink r:id="rId35">
        <w:r>
          <w:t>a</w:t>
        </w:r>
      </w:hyperlink>
      <w:r>
        <w:t>re working together to bring application development and delivery to new levels not possible with traditional methodologies and environments. These next-generation approaches add agility, efficiency, reliability, and security to the software development lifecycle—all of which leads to faster delivery of applications and enhancements to end users and the market.</w:t>
      </w:r>
      <w:r>
        <w:rPr>
          <w:color w:val="000000"/>
        </w:rPr>
        <w:t xml:space="preserve"> </w:t>
      </w:r>
    </w:p>
    <w:p w14:paraId="2AC9DF7D" w14:textId="77777777" w:rsidR="00C909BB" w:rsidRDefault="00000000">
      <w:pPr>
        <w:spacing w:after="0" w:line="259" w:lineRule="auto"/>
        <w:ind w:left="0" w:right="0" w:firstLine="0"/>
        <w:jc w:val="left"/>
      </w:pPr>
      <w:r>
        <w:rPr>
          <w:color w:val="000000"/>
          <w:sz w:val="22"/>
        </w:rPr>
        <w:t xml:space="preserve"> </w:t>
      </w:r>
    </w:p>
    <w:p w14:paraId="1D8F8C43" w14:textId="77777777" w:rsidR="00C909BB" w:rsidRDefault="00000000">
      <w:pPr>
        <w:ind w:left="96" w:right="575"/>
      </w:pPr>
      <w:r>
        <w:t xml:space="preserve">For a deeper dive into microservices, check out </w:t>
      </w:r>
      <w:hyperlink r:id="rId36">
        <w:r>
          <w:t>"</w:t>
        </w:r>
      </w:hyperlink>
      <w:hyperlink r:id="rId37">
        <w:r>
          <w:rPr>
            <w:color w:val="404040"/>
          </w:rPr>
          <w:t>Microservices:</w:t>
        </w:r>
      </w:hyperlink>
      <w:hyperlink r:id="rId38">
        <w:r>
          <w:rPr>
            <w:color w:val="404040"/>
          </w:rPr>
          <w:t xml:space="preserve"> </w:t>
        </w:r>
      </w:hyperlink>
      <w:hyperlink r:id="rId39">
        <w:r>
          <w:rPr>
            <w:color w:val="404040"/>
          </w:rPr>
          <w:t>A</w:t>
        </w:r>
      </w:hyperlink>
      <w:hyperlink r:id="rId40">
        <w:r>
          <w:rPr>
            <w:color w:val="404040"/>
          </w:rPr>
          <w:t xml:space="preserve"> </w:t>
        </w:r>
      </w:hyperlink>
      <w:hyperlink r:id="rId41">
        <w:r>
          <w:rPr>
            <w:color w:val="404040"/>
          </w:rPr>
          <w:t>Complete</w:t>
        </w:r>
      </w:hyperlink>
      <w:hyperlink r:id="rId42">
        <w:r>
          <w:rPr>
            <w:color w:val="404040"/>
          </w:rPr>
          <w:t xml:space="preserve"> </w:t>
        </w:r>
      </w:hyperlink>
      <w:hyperlink r:id="rId43">
        <w:r>
          <w:rPr>
            <w:color w:val="404040"/>
          </w:rPr>
          <w:t>Guide</w:t>
        </w:r>
      </w:hyperlink>
      <w:hyperlink r:id="rId44">
        <w:r>
          <w:t>"</w:t>
        </w:r>
      </w:hyperlink>
      <w:r>
        <w:t xml:space="preserve"> and watch the following "What are Microservices?" video (6:38):</w:t>
      </w:r>
      <w:r>
        <w:rPr>
          <w:color w:val="000000"/>
        </w:rPr>
        <w:t xml:space="preserve"> </w:t>
      </w:r>
    </w:p>
    <w:p w14:paraId="2704B59E" w14:textId="77777777" w:rsidR="00C909BB" w:rsidRDefault="00000000">
      <w:pPr>
        <w:spacing w:after="7" w:line="259" w:lineRule="auto"/>
        <w:ind w:left="0" w:right="0" w:firstLine="0"/>
        <w:jc w:val="left"/>
      </w:pPr>
      <w:r>
        <w:rPr>
          <w:color w:val="000000"/>
          <w:sz w:val="23"/>
        </w:rPr>
        <w:t xml:space="preserve"> </w:t>
      </w:r>
    </w:p>
    <w:p w14:paraId="7AB8289D" w14:textId="77777777" w:rsidR="00C909BB" w:rsidRDefault="00000000">
      <w:pPr>
        <w:pStyle w:val="Heading2"/>
        <w:ind w:left="96"/>
      </w:pPr>
      <w:r>
        <w:t>Security</w:t>
      </w:r>
      <w:r>
        <w:rPr>
          <w:color w:val="000000"/>
        </w:rPr>
        <w:t xml:space="preserve"> </w:t>
      </w:r>
    </w:p>
    <w:p w14:paraId="05FB1469" w14:textId="77777777" w:rsidR="00C909BB" w:rsidRDefault="00000000">
      <w:pPr>
        <w:spacing w:after="0" w:line="259" w:lineRule="auto"/>
        <w:ind w:left="0" w:right="0" w:firstLine="0"/>
        <w:jc w:val="left"/>
      </w:pPr>
      <w:r>
        <w:rPr>
          <w:rFonts w:ascii="Tahoma" w:eastAsia="Tahoma" w:hAnsi="Tahoma" w:cs="Tahoma"/>
          <w:b/>
          <w:color w:val="000000"/>
          <w:sz w:val="27"/>
        </w:rPr>
        <w:t xml:space="preserve"> </w:t>
      </w:r>
    </w:p>
    <w:p w14:paraId="0C4ABFE9" w14:textId="77777777" w:rsidR="00C909BB" w:rsidRDefault="00000000">
      <w:pPr>
        <w:ind w:left="96" w:right="751"/>
      </w:pPr>
      <w:r>
        <w:t xml:space="preserve">Containerized applications inherently have a level of security since they can run as isolated processes and can operate independently of other </w:t>
      </w:r>
      <w:r>
        <w:lastRenderedPageBreak/>
        <w:t>containers. Truly isolated, this could prevent any malicious code from affecting other containers or invading the host system. However, application layers within a container are often shared across containers. In terms of resource efficiency, this is a plus, but it also opens the door to interference and security breaches across containers. The same could be said of the shared Operating System since multiple containers can be associated with the same host Operating System. Security threats to the common Operating System can impact all of the associated containers, and conversely, a container breach can potentially invade the host Operating System.</w:t>
      </w:r>
      <w:r>
        <w:rPr>
          <w:color w:val="000000"/>
        </w:rPr>
        <w:t xml:space="preserve"> </w:t>
      </w:r>
    </w:p>
    <w:p w14:paraId="2AB1173A" w14:textId="77777777" w:rsidR="00C909BB" w:rsidRDefault="00000000">
      <w:pPr>
        <w:spacing w:after="0" w:line="259" w:lineRule="auto"/>
        <w:ind w:left="0" w:right="0" w:firstLine="0"/>
        <w:jc w:val="left"/>
      </w:pPr>
      <w:r>
        <w:rPr>
          <w:color w:val="000000"/>
          <w:sz w:val="23"/>
        </w:rPr>
        <w:t xml:space="preserve"> </w:t>
      </w:r>
    </w:p>
    <w:p w14:paraId="66D4CDC8" w14:textId="77777777" w:rsidR="00C909BB" w:rsidRDefault="00000000">
      <w:pPr>
        <w:ind w:left="96" w:right="739"/>
      </w:pPr>
      <w:r>
        <w:t xml:space="preserve">But, what about the </w:t>
      </w:r>
      <w:hyperlink r:id="rId45">
        <w:r>
          <w:rPr>
            <w:color w:val="404040"/>
          </w:rPr>
          <w:t xml:space="preserve">container image </w:t>
        </w:r>
      </w:hyperlink>
      <w:hyperlink r:id="rId46">
        <w:r>
          <w:t>i</w:t>
        </w:r>
      </w:hyperlink>
      <w:r>
        <w:t xml:space="preserve">tself? How can the applications and </w:t>
      </w:r>
      <w:proofErr w:type="gramStart"/>
      <w:r>
        <w:t>open source</w:t>
      </w:r>
      <w:proofErr w:type="gramEnd"/>
      <w:r>
        <w:t xml:space="preserve"> components packaged within a container improve security? Container technology providers, such as Docker, continue to actively address container security challenges. Containerization has taken a “secure-by-default” approach, believing that security should be inherent in the platform and not a separately deployed and configured solution. To this end, the container engine supports all of the default isolation properties inherent in the underlying operating system.</w:t>
      </w:r>
      <w:r>
        <w:rPr>
          <w:color w:val="000000"/>
        </w:rPr>
        <w:t xml:space="preserve"> </w:t>
      </w:r>
    </w:p>
    <w:p w14:paraId="0CE756F6" w14:textId="77777777" w:rsidR="00C909BB" w:rsidRDefault="00000000">
      <w:pPr>
        <w:ind w:left="96" w:right="575"/>
      </w:pPr>
      <w:r>
        <w:t>Security permissions can be defined to automatically block unwanted components from entering containers or to limit communications with unnecessary resources.</w:t>
      </w:r>
      <w:r>
        <w:rPr>
          <w:color w:val="000000"/>
        </w:rPr>
        <w:t xml:space="preserve"> </w:t>
      </w:r>
    </w:p>
    <w:p w14:paraId="21FFE506" w14:textId="77777777" w:rsidR="00C909BB" w:rsidRDefault="00000000">
      <w:pPr>
        <w:spacing w:after="0" w:line="259" w:lineRule="auto"/>
        <w:ind w:left="0" w:right="0" w:firstLine="0"/>
        <w:jc w:val="left"/>
      </w:pPr>
      <w:r>
        <w:rPr>
          <w:color w:val="000000"/>
          <w:sz w:val="23"/>
        </w:rPr>
        <w:t xml:space="preserve"> </w:t>
      </w:r>
    </w:p>
    <w:p w14:paraId="7101DFDC" w14:textId="77777777" w:rsidR="00C909BB" w:rsidRDefault="00000000">
      <w:pPr>
        <w:ind w:left="96" w:right="692"/>
      </w:pPr>
      <w:r>
        <w:t>For example, Linux Namespaces helps to provide an isolated view of the system to each container; this includes networking, mount points, process IDs, user IDs, inter-process communication, and hostname settings. Namespaces can be used to limit access to any of those resources through processes within each container.</w:t>
      </w:r>
      <w:r>
        <w:rPr>
          <w:color w:val="000000"/>
        </w:rPr>
        <w:t xml:space="preserve"> </w:t>
      </w:r>
      <w:r>
        <w:t>Typically, subsystems which do not have Namespace support are not accessible from within a container. Administrators can easily create and manage these “isolation constraints” on each containerized application through a simple user interface.</w:t>
      </w:r>
      <w:r>
        <w:rPr>
          <w:color w:val="000000"/>
        </w:rPr>
        <w:t xml:space="preserve"> </w:t>
      </w:r>
    </w:p>
    <w:p w14:paraId="6FF5DC1A" w14:textId="77777777" w:rsidR="00C909BB" w:rsidRDefault="00000000">
      <w:pPr>
        <w:spacing w:after="0" w:line="259" w:lineRule="auto"/>
        <w:ind w:left="0" w:right="0" w:firstLine="0"/>
        <w:jc w:val="left"/>
      </w:pPr>
      <w:r>
        <w:rPr>
          <w:color w:val="000000"/>
          <w:sz w:val="22"/>
        </w:rPr>
        <w:t xml:space="preserve"> </w:t>
      </w:r>
    </w:p>
    <w:p w14:paraId="4609C1EA" w14:textId="77777777" w:rsidR="00C909BB" w:rsidRDefault="00000000">
      <w:pPr>
        <w:ind w:left="96" w:right="648"/>
      </w:pPr>
      <w:r>
        <w:t>Researchers are working to further strengthen Linux container security, and a wide range of security solutions are available to automate threat detection and response across an enterprise, to monitor and enforce compliance to meet industry standards and security policies, to ensure the secure flow of data through applications and endpoints, and much more.</w:t>
      </w:r>
      <w:r>
        <w:rPr>
          <w:color w:val="000000"/>
        </w:rPr>
        <w:t xml:space="preserve"> </w:t>
      </w:r>
    </w:p>
    <w:p w14:paraId="7F60FA35" w14:textId="77777777" w:rsidR="00C909BB" w:rsidRDefault="00000000">
      <w:pPr>
        <w:spacing w:after="0" w:line="259" w:lineRule="auto"/>
        <w:ind w:left="0" w:right="0" w:firstLine="0"/>
        <w:jc w:val="left"/>
      </w:pPr>
      <w:r>
        <w:rPr>
          <w:color w:val="000000"/>
          <w:sz w:val="23"/>
        </w:rPr>
        <w:t xml:space="preserve"> </w:t>
      </w:r>
    </w:p>
    <w:p w14:paraId="466BB90B" w14:textId="77777777" w:rsidR="00C909BB" w:rsidRDefault="00000000">
      <w:pPr>
        <w:spacing w:after="0" w:line="257" w:lineRule="auto"/>
        <w:ind w:left="96" w:right="400"/>
        <w:jc w:val="left"/>
      </w:pPr>
      <w:r>
        <w:t>Learn about a</w:t>
      </w:r>
      <w:hyperlink r:id="rId47">
        <w:r>
          <w:t xml:space="preserve"> </w:t>
        </w:r>
      </w:hyperlink>
      <w:hyperlink r:id="rId48">
        <w:r>
          <w:rPr>
            <w:color w:val="404040"/>
          </w:rPr>
          <w:t>strategy</w:t>
        </w:r>
      </w:hyperlink>
      <w:hyperlink r:id="rId49">
        <w:r>
          <w:rPr>
            <w:color w:val="404040"/>
          </w:rPr>
          <w:t xml:space="preserve"> </w:t>
        </w:r>
      </w:hyperlink>
      <w:hyperlink r:id="rId50">
        <w:r>
          <w:rPr>
            <w:color w:val="404040"/>
          </w:rPr>
          <w:t>for</w:t>
        </w:r>
      </w:hyperlink>
      <w:hyperlink r:id="rId51">
        <w:r>
          <w:rPr>
            <w:color w:val="404040"/>
          </w:rPr>
          <w:t xml:space="preserve"> </w:t>
        </w:r>
      </w:hyperlink>
      <w:hyperlink r:id="rId52">
        <w:r>
          <w:rPr>
            <w:color w:val="404040"/>
          </w:rPr>
          <w:t>scaling</w:t>
        </w:r>
      </w:hyperlink>
      <w:hyperlink r:id="rId53">
        <w:r>
          <w:rPr>
            <w:color w:val="404040"/>
          </w:rPr>
          <w:t xml:space="preserve"> </w:t>
        </w:r>
      </w:hyperlink>
      <w:hyperlink r:id="rId54">
        <w:r>
          <w:rPr>
            <w:color w:val="404040"/>
          </w:rPr>
          <w:t>container</w:t>
        </w:r>
      </w:hyperlink>
      <w:hyperlink r:id="rId55">
        <w:r>
          <w:rPr>
            <w:color w:val="404040"/>
          </w:rPr>
          <w:t xml:space="preserve"> </w:t>
        </w:r>
      </w:hyperlink>
      <w:hyperlink r:id="rId56">
        <w:r>
          <w:rPr>
            <w:color w:val="404040"/>
          </w:rPr>
          <w:t>security</w:t>
        </w:r>
      </w:hyperlink>
      <w:hyperlink r:id="rId57">
        <w:r>
          <w:rPr>
            <w:color w:val="404040"/>
          </w:rPr>
          <w:t xml:space="preserve"> </w:t>
        </w:r>
      </w:hyperlink>
      <w:hyperlink r:id="rId58">
        <w:r>
          <w:rPr>
            <w:color w:val="404040"/>
          </w:rPr>
          <w:t>across</w:t>
        </w:r>
      </w:hyperlink>
      <w:hyperlink r:id="rId59">
        <w:r>
          <w:rPr>
            <w:color w:val="404040"/>
          </w:rPr>
          <w:t xml:space="preserve"> </w:t>
        </w:r>
      </w:hyperlink>
      <w:hyperlink r:id="rId60">
        <w:r>
          <w:rPr>
            <w:color w:val="404040"/>
          </w:rPr>
          <w:t>organizations</w:t>
        </w:r>
      </w:hyperlink>
      <w:hyperlink r:id="rId61">
        <w:r>
          <w:rPr>
            <w:color w:val="404040"/>
          </w:rPr>
          <w:t xml:space="preserve"> </w:t>
        </w:r>
      </w:hyperlink>
      <w:hyperlink r:id="rId62">
        <w:r>
          <w:rPr>
            <w:color w:val="404040"/>
          </w:rPr>
          <w:t>of</w:t>
        </w:r>
      </w:hyperlink>
      <w:hyperlink r:id="rId63">
        <w:r>
          <w:rPr>
            <w:color w:val="404040"/>
          </w:rPr>
          <w:t xml:space="preserve"> </w:t>
        </w:r>
      </w:hyperlink>
      <w:hyperlink r:id="rId64">
        <w:r>
          <w:rPr>
            <w:color w:val="404040"/>
          </w:rPr>
          <w:t>any</w:t>
        </w:r>
      </w:hyperlink>
      <w:hyperlink r:id="rId65">
        <w:r>
          <w:rPr>
            <w:color w:val="404040"/>
          </w:rPr>
          <w:t xml:space="preserve"> </w:t>
        </w:r>
      </w:hyperlink>
      <w:hyperlink r:id="rId66">
        <w:r>
          <w:rPr>
            <w:color w:val="404040"/>
          </w:rPr>
          <w:t>size</w:t>
        </w:r>
      </w:hyperlink>
      <w:hyperlink r:id="rId67">
        <w:r>
          <w:t>.</w:t>
        </w:r>
      </w:hyperlink>
      <w:hyperlink r:id="rId68">
        <w:r>
          <w:rPr>
            <w:color w:val="000000"/>
          </w:rPr>
          <w:t xml:space="preserve"> </w:t>
        </w:r>
      </w:hyperlink>
    </w:p>
    <w:p w14:paraId="2DA6A327" w14:textId="77777777" w:rsidR="00C909BB" w:rsidRDefault="00000000">
      <w:pPr>
        <w:spacing w:after="0" w:line="259" w:lineRule="auto"/>
        <w:ind w:left="0" w:right="0" w:firstLine="0"/>
        <w:jc w:val="left"/>
      </w:pPr>
      <w:r>
        <w:rPr>
          <w:color w:val="000000"/>
        </w:rPr>
        <w:t xml:space="preserve"> </w:t>
      </w:r>
    </w:p>
    <w:p w14:paraId="6CCDE5EF" w14:textId="77777777" w:rsidR="00C909BB" w:rsidRDefault="00000000">
      <w:pPr>
        <w:pStyle w:val="Heading2"/>
        <w:ind w:left="96"/>
      </w:pPr>
      <w:r>
        <w:t>Virtualization vs. containerization</w:t>
      </w:r>
      <w:r>
        <w:rPr>
          <w:color w:val="000000"/>
        </w:rPr>
        <w:t xml:space="preserve"> </w:t>
      </w:r>
    </w:p>
    <w:p w14:paraId="31FAE8B4" w14:textId="77777777" w:rsidR="00C909BB" w:rsidRDefault="00000000">
      <w:pPr>
        <w:spacing w:after="0" w:line="259" w:lineRule="auto"/>
        <w:ind w:left="0" w:right="0" w:firstLine="0"/>
        <w:jc w:val="left"/>
      </w:pPr>
      <w:r>
        <w:rPr>
          <w:rFonts w:ascii="Tahoma" w:eastAsia="Tahoma" w:hAnsi="Tahoma" w:cs="Tahoma"/>
          <w:b/>
          <w:color w:val="000000"/>
          <w:sz w:val="26"/>
        </w:rPr>
        <w:t xml:space="preserve"> </w:t>
      </w:r>
    </w:p>
    <w:p w14:paraId="01BE0402" w14:textId="77777777" w:rsidR="00C909BB" w:rsidRDefault="00000000">
      <w:pPr>
        <w:ind w:left="96" w:right="575"/>
      </w:pPr>
      <w:r>
        <w:lastRenderedPageBreak/>
        <w:t>Containers are often compared to virtual machines (VMs) because both technologies enable significant compute efficiencies by allowing multiple types of software (Linux- or Windows-based) to be run in a single environment. However, container technology is proving to deliver significant benefits over and above those of virtualization and is quickly becoming the technology favored by IT professionals.</w:t>
      </w:r>
      <w:r>
        <w:rPr>
          <w:color w:val="000000"/>
        </w:rPr>
        <w:t xml:space="preserve"> </w:t>
      </w:r>
    </w:p>
    <w:p w14:paraId="71AC6032" w14:textId="77777777" w:rsidR="00C909BB" w:rsidRDefault="00000000">
      <w:pPr>
        <w:spacing w:after="0" w:line="259" w:lineRule="auto"/>
        <w:ind w:left="0" w:right="0" w:firstLine="0"/>
        <w:jc w:val="left"/>
      </w:pPr>
      <w:r>
        <w:rPr>
          <w:color w:val="000000"/>
          <w:sz w:val="23"/>
        </w:rPr>
        <w:t xml:space="preserve"> </w:t>
      </w:r>
    </w:p>
    <w:p w14:paraId="7CF34317" w14:textId="77777777" w:rsidR="00C909BB" w:rsidRDefault="00000000">
      <w:pPr>
        <w:ind w:left="96" w:right="683"/>
      </w:pPr>
      <w:r>
        <w:t>Virtualization technology allows multiple operating systems and software applications to run simultaneously and share the resources of a single physical computer. For example, an IT organization can run both Windows and Linux or multiple versions of an operating system, along with multiple applications on the same server. Each application and its related files, libraries, and dependencies, including a copy of the operating system (OS), are packaged together as a VM. With multiple VMs running on a single physical machine, it’s possible to achieve significant savings in capital, operational, and energy costs.</w:t>
      </w:r>
      <w:r>
        <w:rPr>
          <w:color w:val="000000"/>
        </w:rPr>
        <w:t xml:space="preserve"> </w:t>
      </w:r>
    </w:p>
    <w:p w14:paraId="1B61D3E7" w14:textId="77777777" w:rsidR="00C909BB" w:rsidRDefault="00000000">
      <w:pPr>
        <w:spacing w:after="0" w:line="259" w:lineRule="auto"/>
        <w:ind w:left="0" w:right="0" w:firstLine="0"/>
        <w:jc w:val="left"/>
      </w:pPr>
      <w:r>
        <w:rPr>
          <w:color w:val="000000"/>
          <w:sz w:val="22"/>
        </w:rPr>
        <w:t xml:space="preserve"> </w:t>
      </w:r>
    </w:p>
    <w:p w14:paraId="130AF2DA" w14:textId="77777777" w:rsidR="00C909BB" w:rsidRDefault="00000000">
      <w:pPr>
        <w:ind w:left="96" w:right="575"/>
      </w:pPr>
      <w:r>
        <w:t xml:space="preserve">For more of an overview on virtualization, check out the </w:t>
      </w:r>
      <w:hyperlink r:id="rId69">
        <w:r>
          <w:t>"</w:t>
        </w:r>
      </w:hyperlink>
      <w:hyperlink r:id="rId70">
        <w:r>
          <w:rPr>
            <w:color w:val="404040"/>
          </w:rPr>
          <w:t>Virtualization</w:t>
        </w:r>
      </w:hyperlink>
      <w:hyperlink r:id="rId71">
        <w:r>
          <w:rPr>
            <w:color w:val="404040"/>
          </w:rPr>
          <w:t xml:space="preserve"> </w:t>
        </w:r>
      </w:hyperlink>
      <w:hyperlink r:id="rId72">
        <w:r>
          <w:rPr>
            <w:color w:val="404040"/>
          </w:rPr>
          <w:t>in</w:t>
        </w:r>
      </w:hyperlink>
      <w:hyperlink r:id="rId73">
        <w:r>
          <w:rPr>
            <w:color w:val="404040"/>
          </w:rPr>
          <w:t xml:space="preserve"> </w:t>
        </w:r>
      </w:hyperlink>
      <w:hyperlink r:id="rId74">
        <w:r>
          <w:rPr>
            <w:color w:val="404040"/>
          </w:rPr>
          <w:t>2019</w:t>
        </w:r>
      </w:hyperlink>
      <w:hyperlink r:id="rId75">
        <w:r>
          <w:t>"</w:t>
        </w:r>
      </w:hyperlink>
      <w:r>
        <w:t xml:space="preserve"> video and </w:t>
      </w:r>
      <w:hyperlink r:id="rId76">
        <w:r>
          <w:t>"</w:t>
        </w:r>
      </w:hyperlink>
      <w:hyperlink r:id="rId77">
        <w:r>
          <w:rPr>
            <w:color w:val="404040"/>
          </w:rPr>
          <w:t>Virtualization:</w:t>
        </w:r>
      </w:hyperlink>
      <w:hyperlink r:id="rId78">
        <w:r>
          <w:rPr>
            <w:color w:val="404040"/>
          </w:rPr>
          <w:t xml:space="preserve"> </w:t>
        </w:r>
      </w:hyperlink>
      <w:hyperlink r:id="rId79">
        <w:r>
          <w:rPr>
            <w:color w:val="404040"/>
          </w:rPr>
          <w:t>A</w:t>
        </w:r>
      </w:hyperlink>
      <w:hyperlink r:id="rId80">
        <w:r>
          <w:rPr>
            <w:color w:val="404040"/>
          </w:rPr>
          <w:t xml:space="preserve"> </w:t>
        </w:r>
      </w:hyperlink>
      <w:hyperlink r:id="rId81">
        <w:r>
          <w:rPr>
            <w:color w:val="404040"/>
          </w:rPr>
          <w:t>Complete</w:t>
        </w:r>
      </w:hyperlink>
      <w:hyperlink r:id="rId82">
        <w:r>
          <w:rPr>
            <w:color w:val="404040"/>
          </w:rPr>
          <w:t xml:space="preserve"> </w:t>
        </w:r>
      </w:hyperlink>
      <w:hyperlink r:id="rId83">
        <w:r>
          <w:rPr>
            <w:color w:val="404040"/>
          </w:rPr>
          <w:t>Guide</w:t>
        </w:r>
      </w:hyperlink>
      <w:hyperlink r:id="rId84">
        <w:r>
          <w:t>.</w:t>
        </w:r>
      </w:hyperlink>
      <w:r>
        <w:t>"</w:t>
      </w:r>
      <w:r>
        <w:rPr>
          <w:color w:val="000000"/>
        </w:rPr>
        <w:t xml:space="preserve"> </w:t>
      </w:r>
    </w:p>
    <w:p w14:paraId="261355EF" w14:textId="77777777" w:rsidR="00C909BB" w:rsidRDefault="00000000">
      <w:pPr>
        <w:spacing w:after="0" w:line="259" w:lineRule="auto"/>
        <w:ind w:left="0" w:right="0" w:firstLine="0"/>
        <w:jc w:val="left"/>
      </w:pPr>
      <w:r>
        <w:rPr>
          <w:color w:val="000000"/>
          <w:sz w:val="23"/>
        </w:rPr>
        <w:t xml:space="preserve"> </w:t>
      </w:r>
    </w:p>
    <w:p w14:paraId="4ED48944" w14:textId="77777777" w:rsidR="00C909BB" w:rsidRDefault="00000000">
      <w:pPr>
        <w:ind w:left="96" w:right="649"/>
      </w:pPr>
      <w:r>
        <w:t xml:space="preserve">Containerization, on the other hand, uses compute resources even more efficiently. A container creates a single executable package of software that bundles application code together with all of the related configuration files, libraries, and dependencies required for it to run. Unlike VMs, however, containers do </w:t>
      </w:r>
      <w:r>
        <w:rPr>
          <w:i/>
        </w:rPr>
        <w:t xml:space="preserve">not </w:t>
      </w:r>
      <w:r>
        <w:t>bundle</w:t>
      </w:r>
      <w:r>
        <w:rPr>
          <w:color w:val="000000"/>
        </w:rPr>
        <w:t xml:space="preserve"> </w:t>
      </w:r>
      <w:r>
        <w:t>in a copy of the OS. Instead, the container runtime engine is installed on the host system’s operating system, becoming the conduit through which all containers on the computing system share the same OS.</w:t>
      </w:r>
      <w:r>
        <w:rPr>
          <w:color w:val="000000"/>
        </w:rPr>
        <w:t xml:space="preserve"> </w:t>
      </w:r>
    </w:p>
    <w:p w14:paraId="4AA2CE91" w14:textId="77777777" w:rsidR="00C909BB" w:rsidRDefault="00000000">
      <w:pPr>
        <w:spacing w:after="0" w:line="259" w:lineRule="auto"/>
        <w:ind w:left="0" w:right="0" w:firstLine="0"/>
        <w:jc w:val="left"/>
      </w:pPr>
      <w:r>
        <w:rPr>
          <w:color w:val="000000"/>
          <w:sz w:val="22"/>
        </w:rPr>
        <w:t xml:space="preserve"> </w:t>
      </w:r>
    </w:p>
    <w:p w14:paraId="62DB7AD9" w14:textId="77777777" w:rsidR="00C909BB" w:rsidRDefault="00000000">
      <w:pPr>
        <w:ind w:left="96" w:right="786"/>
      </w:pPr>
      <w:r>
        <w:t>As noted, containers are often referred to as “lightweight”—they share the machine’s OS kernel and do not require the overhead of associating an OS within each application (as is the case with a VM). Other container layers (common bins and libraries) can also be shared among multiple containers, making containers inherently smaller in capacity than a VM and faster to start up. Multiple containers can then run on the same compute capacity as a single VM, driving even higher server efficiencies, further reducing server and licensing costs.</w:t>
      </w:r>
      <w:r>
        <w:rPr>
          <w:color w:val="000000"/>
        </w:rPr>
        <w:t xml:space="preserve"> </w:t>
      </w:r>
    </w:p>
    <w:p w14:paraId="1904BF6F" w14:textId="77777777" w:rsidR="00C909BB" w:rsidRDefault="00000000">
      <w:pPr>
        <w:spacing w:after="7" w:line="259" w:lineRule="auto"/>
        <w:ind w:left="0" w:right="0" w:firstLine="0"/>
        <w:jc w:val="left"/>
      </w:pPr>
      <w:r>
        <w:rPr>
          <w:color w:val="000000"/>
          <w:sz w:val="23"/>
        </w:rPr>
        <w:t xml:space="preserve"> </w:t>
      </w:r>
    </w:p>
    <w:p w14:paraId="6630CEAD" w14:textId="77777777" w:rsidR="00C909BB" w:rsidRDefault="00000000">
      <w:pPr>
        <w:pStyle w:val="Heading2"/>
        <w:ind w:left="96"/>
      </w:pPr>
      <w:r>
        <w:t>Containerization and IBM</w:t>
      </w:r>
      <w:r>
        <w:rPr>
          <w:color w:val="000000"/>
        </w:rPr>
        <w:t xml:space="preserve"> </w:t>
      </w:r>
    </w:p>
    <w:p w14:paraId="7975BC61" w14:textId="77777777" w:rsidR="00C909BB" w:rsidRDefault="00000000">
      <w:pPr>
        <w:spacing w:after="0" w:line="259" w:lineRule="auto"/>
        <w:ind w:left="0" w:right="0" w:firstLine="0"/>
        <w:jc w:val="left"/>
      </w:pPr>
      <w:r>
        <w:rPr>
          <w:rFonts w:ascii="Tahoma" w:eastAsia="Tahoma" w:hAnsi="Tahoma" w:cs="Tahoma"/>
          <w:b/>
          <w:color w:val="000000"/>
          <w:sz w:val="27"/>
        </w:rPr>
        <w:t xml:space="preserve"> </w:t>
      </w:r>
    </w:p>
    <w:p w14:paraId="34C8C6E8" w14:textId="77777777" w:rsidR="00C909BB" w:rsidRDefault="00000000">
      <w:pPr>
        <w:ind w:left="96" w:right="1563"/>
      </w:pPr>
      <w:r>
        <w:t>In a nutshell, virtualization eliminates the need for an entire server for one application. Containerization eliminates the need for an entire OS for each application.</w:t>
      </w:r>
      <w:r>
        <w:rPr>
          <w:color w:val="000000"/>
        </w:rPr>
        <w:t xml:space="preserve"> </w:t>
      </w:r>
    </w:p>
    <w:p w14:paraId="15837AE4" w14:textId="77777777" w:rsidR="00C909BB" w:rsidRDefault="00000000">
      <w:pPr>
        <w:spacing w:after="0" w:line="259" w:lineRule="auto"/>
        <w:ind w:left="0" w:right="0" w:firstLine="0"/>
        <w:jc w:val="left"/>
      </w:pPr>
      <w:r>
        <w:rPr>
          <w:color w:val="000000"/>
          <w:sz w:val="22"/>
        </w:rPr>
        <w:t xml:space="preserve"> </w:t>
      </w:r>
    </w:p>
    <w:p w14:paraId="700E30AD" w14:textId="77777777" w:rsidR="00C909BB" w:rsidRDefault="00000000">
      <w:pPr>
        <w:ind w:left="96" w:right="575"/>
      </w:pPr>
      <w:r>
        <w:lastRenderedPageBreak/>
        <w:t>Portability, agility, fault isolation, ease of management, and security are among the advantages of utilizing containerization technology.</w:t>
      </w:r>
      <w:r>
        <w:rPr>
          <w:color w:val="000000"/>
        </w:rPr>
        <w:t xml:space="preserve"> </w:t>
      </w:r>
    </w:p>
    <w:p w14:paraId="6B6E515C" w14:textId="77777777" w:rsidR="00C909BB" w:rsidRDefault="00000000">
      <w:pPr>
        <w:spacing w:after="0" w:line="259" w:lineRule="auto"/>
        <w:ind w:left="0" w:right="0" w:firstLine="0"/>
        <w:jc w:val="left"/>
      </w:pPr>
      <w:r>
        <w:rPr>
          <w:color w:val="000000"/>
          <w:sz w:val="22"/>
        </w:rPr>
        <w:t xml:space="preserve"> </w:t>
      </w:r>
    </w:p>
    <w:p w14:paraId="023421A6" w14:textId="77777777" w:rsidR="00C909BB" w:rsidRDefault="00000000">
      <w:pPr>
        <w:ind w:left="96" w:right="575"/>
      </w:pPr>
      <w:r>
        <w:t>Click here to learn about the security and container orchestration capabilities of the</w:t>
      </w:r>
      <w:hyperlink r:id="rId85">
        <w:r>
          <w:t xml:space="preserve"> </w:t>
        </w:r>
      </w:hyperlink>
      <w:hyperlink r:id="rId86">
        <w:r>
          <w:rPr>
            <w:color w:val="404040"/>
          </w:rPr>
          <w:t>IBM</w:t>
        </w:r>
      </w:hyperlink>
      <w:hyperlink r:id="rId87">
        <w:r>
          <w:rPr>
            <w:color w:val="404040"/>
          </w:rPr>
          <w:t xml:space="preserve"> </w:t>
        </w:r>
      </w:hyperlink>
      <w:hyperlink r:id="rId88">
        <w:r>
          <w:rPr>
            <w:color w:val="404040"/>
          </w:rPr>
          <w:t>Cloud</w:t>
        </w:r>
      </w:hyperlink>
      <w:hyperlink r:id="rId89">
        <w:r>
          <w:rPr>
            <w:color w:val="404040"/>
          </w:rPr>
          <w:t xml:space="preserve"> </w:t>
        </w:r>
      </w:hyperlink>
      <w:hyperlink r:id="rId90">
        <w:r>
          <w:rPr>
            <w:color w:val="404040"/>
          </w:rPr>
          <w:t>Kubernetes</w:t>
        </w:r>
      </w:hyperlink>
      <w:hyperlink r:id="rId91">
        <w:r>
          <w:rPr>
            <w:color w:val="404040"/>
          </w:rPr>
          <w:t xml:space="preserve"> </w:t>
        </w:r>
      </w:hyperlink>
      <w:hyperlink r:id="rId92">
        <w:r>
          <w:rPr>
            <w:color w:val="404040"/>
          </w:rPr>
          <w:t>Service</w:t>
        </w:r>
      </w:hyperlink>
      <w:hyperlink r:id="rId93">
        <w:r>
          <w:t>.</w:t>
        </w:r>
      </w:hyperlink>
      <w:r>
        <w:rPr>
          <w:color w:val="000000"/>
        </w:rPr>
        <w:t xml:space="preserve"> </w:t>
      </w:r>
    </w:p>
    <w:p w14:paraId="24FB8E16" w14:textId="77777777" w:rsidR="00C909BB" w:rsidRDefault="00000000">
      <w:pPr>
        <w:spacing w:after="0" w:line="259" w:lineRule="auto"/>
        <w:ind w:left="0" w:right="0" w:firstLine="0"/>
        <w:jc w:val="left"/>
      </w:pPr>
      <w:r>
        <w:rPr>
          <w:color w:val="000000"/>
          <w:sz w:val="23"/>
        </w:rPr>
        <w:t xml:space="preserve"> </w:t>
      </w:r>
    </w:p>
    <w:p w14:paraId="61869EFC" w14:textId="77777777" w:rsidR="00C909BB" w:rsidRDefault="00000000">
      <w:pPr>
        <w:ind w:left="96" w:right="575"/>
      </w:pPr>
      <w:r>
        <w:t>For an overview of how managed Kubernetes can help you in your cloud journey, watch our video, "Advantages of Managed Kubernetes" (3:15):</w:t>
      </w:r>
      <w:r>
        <w:rPr>
          <w:color w:val="000000"/>
        </w:rPr>
        <w:t xml:space="preserve"> </w:t>
      </w:r>
    </w:p>
    <w:p w14:paraId="048E14D9" w14:textId="77777777" w:rsidR="00C909BB" w:rsidRDefault="00000000">
      <w:pPr>
        <w:spacing w:after="0" w:line="259" w:lineRule="auto"/>
        <w:ind w:left="0" w:right="0" w:firstLine="0"/>
        <w:jc w:val="left"/>
      </w:pPr>
      <w:r>
        <w:rPr>
          <w:color w:val="000000"/>
          <w:sz w:val="23"/>
        </w:rPr>
        <w:t xml:space="preserve"> </w:t>
      </w:r>
    </w:p>
    <w:p w14:paraId="59C28081" w14:textId="77777777" w:rsidR="00C909BB" w:rsidRDefault="00000000">
      <w:pPr>
        <w:ind w:left="96" w:right="575"/>
      </w:pPr>
      <w:r>
        <w:t>To learn more about best practices to enable and expedite container deployment in production environments, see the report "</w:t>
      </w:r>
      <w:hyperlink r:id="rId94">
        <w:r>
          <w:rPr>
            <w:color w:val="404040"/>
          </w:rPr>
          <w:t>Best Practices for Running Containers</w:t>
        </w:r>
      </w:hyperlink>
      <w:hyperlink r:id="rId95">
        <w:r>
          <w:rPr>
            <w:color w:val="404040"/>
          </w:rPr>
          <w:t xml:space="preserve"> </w:t>
        </w:r>
      </w:hyperlink>
      <w:hyperlink r:id="rId96">
        <w:r>
          <w:rPr>
            <w:color w:val="404040"/>
          </w:rPr>
          <w:t>and</w:t>
        </w:r>
      </w:hyperlink>
      <w:hyperlink r:id="rId97">
        <w:r>
          <w:rPr>
            <w:color w:val="404040"/>
          </w:rPr>
          <w:t xml:space="preserve"> </w:t>
        </w:r>
      </w:hyperlink>
      <w:hyperlink r:id="rId98">
        <w:r>
          <w:rPr>
            <w:color w:val="404040"/>
          </w:rPr>
          <w:t>Kubernetes</w:t>
        </w:r>
      </w:hyperlink>
      <w:hyperlink r:id="rId99">
        <w:r>
          <w:rPr>
            <w:color w:val="404040"/>
          </w:rPr>
          <w:t xml:space="preserve"> </w:t>
        </w:r>
      </w:hyperlink>
      <w:hyperlink r:id="rId100">
        <w:r>
          <w:rPr>
            <w:color w:val="404040"/>
          </w:rPr>
          <w:t>in</w:t>
        </w:r>
      </w:hyperlink>
      <w:hyperlink r:id="rId101">
        <w:r>
          <w:rPr>
            <w:color w:val="404040"/>
          </w:rPr>
          <w:t xml:space="preserve"> </w:t>
        </w:r>
      </w:hyperlink>
      <w:hyperlink r:id="rId102">
        <w:r>
          <w:rPr>
            <w:color w:val="404040"/>
          </w:rPr>
          <w:t>Production</w:t>
        </w:r>
      </w:hyperlink>
      <w:hyperlink r:id="rId103">
        <w:r>
          <w:t>.</w:t>
        </w:r>
      </w:hyperlink>
      <w:r>
        <w:t>"</w:t>
      </w:r>
      <w:r>
        <w:rPr>
          <w:color w:val="000000"/>
        </w:rPr>
        <w:t xml:space="preserve"> </w:t>
      </w:r>
    </w:p>
    <w:p w14:paraId="15C8AD22" w14:textId="77777777" w:rsidR="00C909BB" w:rsidRDefault="00000000">
      <w:pPr>
        <w:spacing w:after="0" w:line="259" w:lineRule="auto"/>
        <w:ind w:left="0" w:right="0" w:firstLine="0"/>
        <w:jc w:val="left"/>
      </w:pPr>
      <w:r>
        <w:rPr>
          <w:color w:val="000000"/>
          <w:sz w:val="23"/>
        </w:rPr>
        <w:t xml:space="preserve"> </w:t>
      </w:r>
    </w:p>
    <w:p w14:paraId="4EA6A3C7" w14:textId="77777777" w:rsidR="00C909BB" w:rsidRDefault="00000000">
      <w:pPr>
        <w:ind w:left="96" w:right="575"/>
      </w:pPr>
      <w:r>
        <w:t>Sign up for an</w:t>
      </w:r>
      <w:hyperlink r:id="rId104">
        <w:r>
          <w:t xml:space="preserve"> </w:t>
        </w:r>
      </w:hyperlink>
      <w:hyperlink r:id="rId105">
        <w:r>
          <w:rPr>
            <w:color w:val="404040"/>
          </w:rPr>
          <w:t>IBM</w:t>
        </w:r>
      </w:hyperlink>
      <w:hyperlink r:id="rId106">
        <w:r>
          <w:rPr>
            <w:color w:val="404040"/>
          </w:rPr>
          <w:t xml:space="preserve"> </w:t>
        </w:r>
      </w:hyperlink>
      <w:hyperlink r:id="rId107">
        <w:r>
          <w:rPr>
            <w:color w:val="404040"/>
          </w:rPr>
          <w:t>Cloud</w:t>
        </w:r>
      </w:hyperlink>
      <w:hyperlink r:id="rId108">
        <w:r>
          <w:rPr>
            <w:color w:val="404040"/>
          </w:rPr>
          <w:t xml:space="preserve"> </w:t>
        </w:r>
      </w:hyperlink>
      <w:hyperlink r:id="rId109">
        <w:r>
          <w:rPr>
            <w:color w:val="404040"/>
          </w:rPr>
          <w:t>account</w:t>
        </w:r>
      </w:hyperlink>
      <w:hyperlink r:id="rId110">
        <w:r>
          <w:rPr>
            <w:color w:val="404040"/>
          </w:rPr>
          <w:t xml:space="preserve"> </w:t>
        </w:r>
      </w:hyperlink>
      <w:hyperlink r:id="rId111">
        <w:r>
          <w:t>a</w:t>
        </w:r>
      </w:hyperlink>
      <w:r>
        <w:t>nd start provisioning your first cluster for free.</w:t>
      </w:r>
      <w:r>
        <w:rPr>
          <w:color w:val="000000"/>
        </w:rPr>
        <w:t xml:space="preserve"> </w:t>
      </w:r>
    </w:p>
    <w:p w14:paraId="69E5EC7F" w14:textId="77777777" w:rsidR="00C909BB" w:rsidRDefault="00000000">
      <w:pPr>
        <w:spacing w:after="0" w:line="259" w:lineRule="auto"/>
        <w:ind w:left="0" w:right="0" w:firstLine="0"/>
        <w:jc w:val="left"/>
      </w:pPr>
      <w:r>
        <w:rPr>
          <w:color w:val="000000"/>
        </w:rPr>
        <w:t xml:space="preserve"> </w:t>
      </w:r>
    </w:p>
    <w:p w14:paraId="34AEB0DC" w14:textId="77777777" w:rsidR="00C909BB" w:rsidRDefault="00000000">
      <w:pPr>
        <w:spacing w:after="43" w:line="259" w:lineRule="auto"/>
        <w:ind w:left="101" w:right="0" w:firstLine="0"/>
        <w:jc w:val="left"/>
      </w:pPr>
      <w:r>
        <w:rPr>
          <w:i/>
          <w:color w:val="2E5395"/>
          <w:sz w:val="22"/>
        </w:rPr>
        <w:t>Featured products</w:t>
      </w:r>
      <w:r>
        <w:rPr>
          <w:i/>
          <w:color w:val="000000"/>
          <w:sz w:val="22"/>
        </w:rPr>
        <w:t xml:space="preserve"> </w:t>
      </w:r>
    </w:p>
    <w:p w14:paraId="2CC3B0E7" w14:textId="77777777" w:rsidR="00C909BB" w:rsidRDefault="00000000">
      <w:pPr>
        <w:numPr>
          <w:ilvl w:val="0"/>
          <w:numId w:val="2"/>
        </w:numPr>
        <w:spacing w:after="0" w:line="257" w:lineRule="auto"/>
        <w:ind w:left="621" w:right="408" w:hanging="391"/>
        <w:jc w:val="left"/>
      </w:pPr>
      <w:hyperlink r:id="rId112">
        <w:r>
          <w:rPr>
            <w:color w:val="404040"/>
          </w:rPr>
          <w:t>Red</w:t>
        </w:r>
      </w:hyperlink>
      <w:hyperlink r:id="rId113">
        <w:r>
          <w:rPr>
            <w:color w:val="404040"/>
          </w:rPr>
          <w:t xml:space="preserve"> </w:t>
        </w:r>
      </w:hyperlink>
      <w:hyperlink r:id="rId114">
        <w:r>
          <w:rPr>
            <w:color w:val="404040"/>
          </w:rPr>
          <w:t>Hat</w:t>
        </w:r>
      </w:hyperlink>
      <w:hyperlink r:id="rId115">
        <w:r>
          <w:rPr>
            <w:color w:val="404040"/>
          </w:rPr>
          <w:t xml:space="preserve"> </w:t>
        </w:r>
      </w:hyperlink>
      <w:hyperlink r:id="rId116">
        <w:r>
          <w:rPr>
            <w:color w:val="404040"/>
          </w:rPr>
          <w:t>OpenShift</w:t>
        </w:r>
      </w:hyperlink>
      <w:hyperlink r:id="rId117">
        <w:r>
          <w:rPr>
            <w:color w:val="404040"/>
          </w:rPr>
          <w:t xml:space="preserve"> </w:t>
        </w:r>
      </w:hyperlink>
      <w:hyperlink r:id="rId118">
        <w:r>
          <w:rPr>
            <w:color w:val="404040"/>
          </w:rPr>
          <w:t>on</w:t>
        </w:r>
      </w:hyperlink>
      <w:hyperlink r:id="rId119">
        <w:r>
          <w:rPr>
            <w:color w:val="404040"/>
          </w:rPr>
          <w:t xml:space="preserve"> </w:t>
        </w:r>
      </w:hyperlink>
      <w:hyperlink r:id="rId120">
        <w:r>
          <w:rPr>
            <w:color w:val="404040"/>
          </w:rPr>
          <w:t>IBM</w:t>
        </w:r>
      </w:hyperlink>
      <w:hyperlink r:id="rId121">
        <w:r>
          <w:rPr>
            <w:color w:val="404040"/>
          </w:rPr>
          <w:t xml:space="preserve"> </w:t>
        </w:r>
      </w:hyperlink>
      <w:hyperlink r:id="rId122">
        <w:r>
          <w:rPr>
            <w:color w:val="404040"/>
          </w:rPr>
          <w:t>Cloud</w:t>
        </w:r>
      </w:hyperlink>
      <w:hyperlink r:id="rId123">
        <w:r>
          <w:rPr>
            <w:rFonts w:ascii="Segoe UI Symbol" w:eastAsia="Segoe UI Symbol" w:hAnsi="Segoe UI Symbol" w:cs="Segoe UI Symbol"/>
            <w:color w:val="000000"/>
            <w:sz w:val="20"/>
          </w:rPr>
          <w:t></w:t>
        </w:r>
      </w:hyperlink>
    </w:p>
    <w:p w14:paraId="6A66649C" w14:textId="77777777" w:rsidR="00C909BB" w:rsidRDefault="00000000">
      <w:pPr>
        <w:numPr>
          <w:ilvl w:val="0"/>
          <w:numId w:val="2"/>
        </w:numPr>
        <w:spacing w:after="0" w:line="259" w:lineRule="auto"/>
        <w:ind w:left="621" w:right="408" w:hanging="391"/>
        <w:jc w:val="left"/>
      </w:pPr>
      <w:hyperlink r:id="rId124">
        <w:r>
          <w:rPr>
            <w:color w:val="404040"/>
            <w:u w:val="single" w:color="C5C5C5"/>
          </w:rPr>
          <w:t>IBM</w:t>
        </w:r>
      </w:hyperlink>
      <w:hyperlink r:id="rId125">
        <w:r>
          <w:rPr>
            <w:color w:val="404040"/>
            <w:u w:val="single" w:color="C5C5C5"/>
          </w:rPr>
          <w:t xml:space="preserve"> </w:t>
        </w:r>
      </w:hyperlink>
      <w:hyperlink r:id="rId126">
        <w:r>
          <w:rPr>
            <w:color w:val="404040"/>
            <w:u w:val="single" w:color="C5C5C5"/>
          </w:rPr>
          <w:t>Cloud</w:t>
        </w:r>
      </w:hyperlink>
      <w:hyperlink r:id="rId127">
        <w:r>
          <w:rPr>
            <w:color w:val="404040"/>
            <w:u w:val="single" w:color="C5C5C5"/>
          </w:rPr>
          <w:t xml:space="preserve"> </w:t>
        </w:r>
      </w:hyperlink>
      <w:hyperlink r:id="rId128">
        <w:r>
          <w:rPr>
            <w:color w:val="404040"/>
            <w:u w:val="single" w:color="C5C5C5"/>
          </w:rPr>
          <w:t>Satellite</w:t>
        </w:r>
      </w:hyperlink>
      <w:r>
        <w:rPr>
          <w:color w:val="404040"/>
          <w:u w:val="single" w:color="C5C5C5"/>
        </w:rPr>
        <w:t xml:space="preserve"> </w:t>
      </w:r>
      <w:r>
        <w:rPr>
          <w:color w:val="404040"/>
          <w:u w:val="single" w:color="C5C5C5"/>
        </w:rPr>
        <w:tab/>
      </w:r>
      <w:r>
        <w:rPr>
          <w:rFonts w:ascii="Segoe UI Symbol" w:eastAsia="Segoe UI Symbol" w:hAnsi="Segoe UI Symbol" w:cs="Segoe UI Symbol"/>
          <w:color w:val="000000"/>
          <w:sz w:val="20"/>
        </w:rPr>
        <w:t></w:t>
      </w:r>
    </w:p>
    <w:p w14:paraId="752E9494" w14:textId="77777777" w:rsidR="00C909BB" w:rsidRDefault="00000000">
      <w:pPr>
        <w:spacing w:after="0" w:line="259" w:lineRule="auto"/>
        <w:ind w:left="0" w:right="0" w:firstLine="0"/>
        <w:jc w:val="left"/>
      </w:pPr>
      <w:r>
        <w:rPr>
          <w:color w:val="000000"/>
          <w:sz w:val="20"/>
        </w:rPr>
        <w:t xml:space="preserve"> </w:t>
      </w:r>
    </w:p>
    <w:p w14:paraId="1706DECA" w14:textId="77777777" w:rsidR="00C909BB" w:rsidRDefault="00000000">
      <w:pPr>
        <w:spacing w:after="0" w:line="259" w:lineRule="auto"/>
        <w:ind w:left="0" w:right="0" w:firstLine="0"/>
        <w:jc w:val="left"/>
      </w:pPr>
      <w:r>
        <w:rPr>
          <w:color w:val="000000"/>
          <w:sz w:val="20"/>
        </w:rPr>
        <w:t xml:space="preserve"> </w:t>
      </w:r>
    </w:p>
    <w:p w14:paraId="7D9DA9F2" w14:textId="77777777" w:rsidR="00C909BB" w:rsidRDefault="00000000">
      <w:pPr>
        <w:spacing w:after="0" w:line="259" w:lineRule="auto"/>
        <w:ind w:left="0" w:right="0" w:firstLine="0"/>
        <w:jc w:val="left"/>
      </w:pPr>
      <w:r>
        <w:rPr>
          <w:color w:val="000000"/>
          <w:sz w:val="20"/>
        </w:rPr>
        <w:t xml:space="preserve"> </w:t>
      </w:r>
    </w:p>
    <w:tbl>
      <w:tblPr>
        <w:tblStyle w:val="TableGrid"/>
        <w:tblW w:w="8729" w:type="dxa"/>
        <w:tblInd w:w="431" w:type="dxa"/>
        <w:tblCellMar>
          <w:top w:w="34" w:type="dxa"/>
          <w:left w:w="0" w:type="dxa"/>
          <w:bottom w:w="0" w:type="dxa"/>
          <w:right w:w="115" w:type="dxa"/>
        </w:tblCellMar>
        <w:tblLook w:val="04A0" w:firstRow="1" w:lastRow="0" w:firstColumn="1" w:lastColumn="0" w:noHBand="0" w:noVBand="1"/>
      </w:tblPr>
      <w:tblGrid>
        <w:gridCol w:w="389"/>
        <w:gridCol w:w="8340"/>
      </w:tblGrid>
      <w:tr w:rsidR="00C909BB" w14:paraId="15D553A7" w14:textId="77777777">
        <w:trPr>
          <w:trHeight w:val="305"/>
        </w:trPr>
        <w:tc>
          <w:tcPr>
            <w:tcW w:w="389" w:type="dxa"/>
            <w:tcBorders>
              <w:top w:val="nil"/>
              <w:left w:val="nil"/>
              <w:bottom w:val="nil"/>
              <w:right w:val="nil"/>
            </w:tcBorders>
            <w:shd w:val="clear" w:color="auto" w:fill="F4F4F4"/>
          </w:tcPr>
          <w:p w14:paraId="248D9C75" w14:textId="77777777" w:rsidR="00C909BB" w:rsidRDefault="00000000">
            <w:pPr>
              <w:spacing w:after="0" w:line="259" w:lineRule="auto"/>
              <w:ind w:left="32" w:right="0" w:firstLine="0"/>
              <w:jc w:val="left"/>
            </w:pPr>
            <w:r>
              <w:rPr>
                <w:rFonts w:ascii="Segoe UI Symbol" w:eastAsia="Segoe UI Symbol" w:hAnsi="Segoe UI Symbol" w:cs="Segoe UI Symbol"/>
                <w:color w:val="000000"/>
                <w:sz w:val="20"/>
              </w:rPr>
              <w:t></w:t>
            </w:r>
            <w:r>
              <w:rPr>
                <w:rFonts w:ascii="Arial" w:eastAsia="Arial" w:hAnsi="Arial" w:cs="Arial"/>
                <w:color w:val="000000"/>
                <w:sz w:val="20"/>
              </w:rPr>
              <w:t xml:space="preserve"> </w:t>
            </w:r>
          </w:p>
        </w:tc>
        <w:tc>
          <w:tcPr>
            <w:tcW w:w="8340" w:type="dxa"/>
            <w:tcBorders>
              <w:top w:val="nil"/>
              <w:left w:val="nil"/>
              <w:bottom w:val="nil"/>
              <w:right w:val="nil"/>
            </w:tcBorders>
            <w:shd w:val="clear" w:color="auto" w:fill="F4F4F4"/>
          </w:tcPr>
          <w:p w14:paraId="67B7EB93" w14:textId="77777777" w:rsidR="00C909BB" w:rsidRDefault="00000000">
            <w:pPr>
              <w:spacing w:after="0" w:line="259" w:lineRule="auto"/>
              <w:ind w:left="0" w:right="0" w:firstLine="0"/>
              <w:jc w:val="left"/>
            </w:pPr>
            <w:hyperlink r:id="rId129">
              <w:r>
                <w:rPr>
                  <w:color w:val="5A5A5A"/>
                  <w:sz w:val="22"/>
                </w:rPr>
                <w:t>Contact</w:t>
              </w:r>
            </w:hyperlink>
            <w:hyperlink r:id="rId130">
              <w:r>
                <w:rPr>
                  <w:color w:val="000000"/>
                  <w:sz w:val="22"/>
                </w:rPr>
                <w:t xml:space="preserve"> </w:t>
              </w:r>
            </w:hyperlink>
          </w:p>
        </w:tc>
      </w:tr>
      <w:tr w:rsidR="00C909BB" w14:paraId="0ED71155" w14:textId="77777777">
        <w:trPr>
          <w:trHeight w:val="284"/>
        </w:trPr>
        <w:tc>
          <w:tcPr>
            <w:tcW w:w="389" w:type="dxa"/>
            <w:tcBorders>
              <w:top w:val="nil"/>
              <w:left w:val="nil"/>
              <w:bottom w:val="nil"/>
              <w:right w:val="nil"/>
            </w:tcBorders>
            <w:shd w:val="clear" w:color="auto" w:fill="F4F4F4"/>
          </w:tcPr>
          <w:p w14:paraId="33F6DAB3" w14:textId="77777777" w:rsidR="00C909BB" w:rsidRDefault="00000000">
            <w:pPr>
              <w:spacing w:after="0" w:line="259" w:lineRule="auto"/>
              <w:ind w:left="32" w:right="0" w:firstLine="0"/>
              <w:jc w:val="left"/>
            </w:pPr>
            <w:r>
              <w:rPr>
                <w:rFonts w:ascii="Segoe UI Symbol" w:eastAsia="Segoe UI Symbol" w:hAnsi="Segoe UI Symbol" w:cs="Segoe UI Symbol"/>
                <w:color w:val="000000"/>
                <w:sz w:val="20"/>
              </w:rPr>
              <w:t></w:t>
            </w:r>
            <w:r>
              <w:rPr>
                <w:rFonts w:ascii="Arial" w:eastAsia="Arial" w:hAnsi="Arial" w:cs="Arial"/>
                <w:color w:val="000000"/>
                <w:sz w:val="20"/>
              </w:rPr>
              <w:t xml:space="preserve"> </w:t>
            </w:r>
          </w:p>
        </w:tc>
        <w:tc>
          <w:tcPr>
            <w:tcW w:w="8340" w:type="dxa"/>
            <w:tcBorders>
              <w:top w:val="nil"/>
              <w:left w:val="nil"/>
              <w:bottom w:val="nil"/>
              <w:right w:val="nil"/>
            </w:tcBorders>
            <w:shd w:val="clear" w:color="auto" w:fill="F4F4F4"/>
          </w:tcPr>
          <w:p w14:paraId="2030E53D" w14:textId="77777777" w:rsidR="00C909BB" w:rsidRDefault="00000000">
            <w:pPr>
              <w:spacing w:after="0" w:line="259" w:lineRule="auto"/>
              <w:ind w:left="0" w:right="0" w:firstLine="0"/>
              <w:jc w:val="left"/>
            </w:pPr>
            <w:hyperlink r:id="rId131">
              <w:r>
                <w:rPr>
                  <w:color w:val="5A5A5A"/>
                  <w:sz w:val="22"/>
                </w:rPr>
                <w:t>Privacy</w:t>
              </w:r>
            </w:hyperlink>
            <w:hyperlink r:id="rId132">
              <w:r>
                <w:rPr>
                  <w:color w:val="000000"/>
                  <w:sz w:val="22"/>
                </w:rPr>
                <w:t xml:space="preserve"> </w:t>
              </w:r>
            </w:hyperlink>
          </w:p>
        </w:tc>
      </w:tr>
      <w:tr w:rsidR="00C909BB" w14:paraId="600D1661" w14:textId="77777777">
        <w:trPr>
          <w:trHeight w:val="288"/>
        </w:trPr>
        <w:tc>
          <w:tcPr>
            <w:tcW w:w="389" w:type="dxa"/>
            <w:tcBorders>
              <w:top w:val="nil"/>
              <w:left w:val="nil"/>
              <w:bottom w:val="nil"/>
              <w:right w:val="nil"/>
            </w:tcBorders>
            <w:shd w:val="clear" w:color="auto" w:fill="F4F4F4"/>
          </w:tcPr>
          <w:p w14:paraId="6BC097E2" w14:textId="77777777" w:rsidR="00C909BB" w:rsidRDefault="00000000">
            <w:pPr>
              <w:spacing w:after="0" w:line="259" w:lineRule="auto"/>
              <w:ind w:left="32" w:right="0" w:firstLine="0"/>
              <w:jc w:val="left"/>
            </w:pPr>
            <w:r>
              <w:rPr>
                <w:rFonts w:ascii="Segoe UI Symbol" w:eastAsia="Segoe UI Symbol" w:hAnsi="Segoe UI Symbol" w:cs="Segoe UI Symbol"/>
                <w:color w:val="000000"/>
                <w:sz w:val="20"/>
              </w:rPr>
              <w:t></w:t>
            </w:r>
            <w:r>
              <w:rPr>
                <w:rFonts w:ascii="Arial" w:eastAsia="Arial" w:hAnsi="Arial" w:cs="Arial"/>
                <w:color w:val="000000"/>
                <w:sz w:val="20"/>
              </w:rPr>
              <w:t xml:space="preserve"> </w:t>
            </w:r>
          </w:p>
        </w:tc>
        <w:tc>
          <w:tcPr>
            <w:tcW w:w="8340" w:type="dxa"/>
            <w:tcBorders>
              <w:top w:val="nil"/>
              <w:left w:val="nil"/>
              <w:bottom w:val="nil"/>
              <w:right w:val="nil"/>
            </w:tcBorders>
            <w:shd w:val="clear" w:color="auto" w:fill="F4F4F4"/>
          </w:tcPr>
          <w:p w14:paraId="568FA72C" w14:textId="77777777" w:rsidR="00C909BB" w:rsidRDefault="00000000">
            <w:pPr>
              <w:spacing w:after="0" w:line="259" w:lineRule="auto"/>
              <w:ind w:left="0" w:right="0" w:firstLine="0"/>
              <w:jc w:val="left"/>
            </w:pPr>
            <w:hyperlink r:id="rId133">
              <w:r>
                <w:rPr>
                  <w:color w:val="5A5A5A"/>
                  <w:sz w:val="22"/>
                </w:rPr>
                <w:t>Terms</w:t>
              </w:r>
            </w:hyperlink>
            <w:hyperlink r:id="rId134">
              <w:r>
                <w:rPr>
                  <w:color w:val="5A5A5A"/>
                  <w:sz w:val="22"/>
                </w:rPr>
                <w:t xml:space="preserve"> </w:t>
              </w:r>
            </w:hyperlink>
            <w:hyperlink r:id="rId135">
              <w:r>
                <w:rPr>
                  <w:color w:val="5A5A5A"/>
                  <w:sz w:val="22"/>
                </w:rPr>
                <w:t>of</w:t>
              </w:r>
            </w:hyperlink>
            <w:hyperlink r:id="rId136">
              <w:r>
                <w:rPr>
                  <w:color w:val="5A5A5A"/>
                  <w:sz w:val="22"/>
                </w:rPr>
                <w:t xml:space="preserve"> </w:t>
              </w:r>
            </w:hyperlink>
            <w:hyperlink r:id="rId137">
              <w:r>
                <w:rPr>
                  <w:color w:val="5A5A5A"/>
                  <w:sz w:val="22"/>
                </w:rPr>
                <w:t>use</w:t>
              </w:r>
            </w:hyperlink>
            <w:hyperlink r:id="rId138">
              <w:r>
                <w:rPr>
                  <w:color w:val="000000"/>
                  <w:sz w:val="22"/>
                </w:rPr>
                <w:t xml:space="preserve"> </w:t>
              </w:r>
            </w:hyperlink>
          </w:p>
        </w:tc>
      </w:tr>
      <w:tr w:rsidR="00C909BB" w14:paraId="7F39B25B" w14:textId="77777777">
        <w:trPr>
          <w:trHeight w:val="262"/>
        </w:trPr>
        <w:tc>
          <w:tcPr>
            <w:tcW w:w="389" w:type="dxa"/>
            <w:tcBorders>
              <w:top w:val="nil"/>
              <w:left w:val="nil"/>
              <w:bottom w:val="nil"/>
              <w:right w:val="nil"/>
            </w:tcBorders>
            <w:shd w:val="clear" w:color="auto" w:fill="F4F4F4"/>
          </w:tcPr>
          <w:p w14:paraId="71206772" w14:textId="77777777" w:rsidR="00C909BB" w:rsidRDefault="00000000">
            <w:pPr>
              <w:spacing w:after="0" w:line="259" w:lineRule="auto"/>
              <w:ind w:left="32" w:right="0" w:firstLine="0"/>
              <w:jc w:val="left"/>
            </w:pPr>
            <w:r>
              <w:rPr>
                <w:rFonts w:ascii="Segoe UI Symbol" w:eastAsia="Segoe UI Symbol" w:hAnsi="Segoe UI Symbol" w:cs="Segoe UI Symbol"/>
                <w:color w:val="000000"/>
                <w:sz w:val="20"/>
              </w:rPr>
              <w:t></w:t>
            </w:r>
            <w:r>
              <w:rPr>
                <w:rFonts w:ascii="Arial" w:eastAsia="Arial" w:hAnsi="Arial" w:cs="Arial"/>
                <w:color w:val="000000"/>
                <w:sz w:val="20"/>
              </w:rPr>
              <w:t xml:space="preserve"> </w:t>
            </w:r>
          </w:p>
        </w:tc>
        <w:tc>
          <w:tcPr>
            <w:tcW w:w="8340" w:type="dxa"/>
            <w:tcBorders>
              <w:top w:val="nil"/>
              <w:left w:val="nil"/>
              <w:bottom w:val="nil"/>
              <w:right w:val="nil"/>
            </w:tcBorders>
            <w:shd w:val="clear" w:color="auto" w:fill="F4F4F4"/>
          </w:tcPr>
          <w:p w14:paraId="032D62F3" w14:textId="77777777" w:rsidR="00C909BB" w:rsidRDefault="00000000">
            <w:pPr>
              <w:spacing w:after="0" w:line="259" w:lineRule="auto"/>
              <w:ind w:left="0" w:right="0" w:firstLine="0"/>
              <w:jc w:val="left"/>
            </w:pPr>
            <w:hyperlink r:id="rId139">
              <w:r>
                <w:rPr>
                  <w:color w:val="5A5A5A"/>
                  <w:sz w:val="22"/>
                </w:rPr>
                <w:t>Accessibility</w:t>
              </w:r>
            </w:hyperlink>
            <w:hyperlink r:id="rId140">
              <w:r>
                <w:rPr>
                  <w:color w:val="000000"/>
                  <w:sz w:val="22"/>
                </w:rPr>
                <w:t xml:space="preserve"> </w:t>
              </w:r>
            </w:hyperlink>
          </w:p>
        </w:tc>
      </w:tr>
    </w:tbl>
    <w:p w14:paraId="637C4219" w14:textId="77777777" w:rsidR="00C909BB" w:rsidRDefault="00000000">
      <w:pPr>
        <w:spacing w:after="0" w:line="259" w:lineRule="auto"/>
        <w:ind w:left="0" w:right="0" w:firstLine="0"/>
      </w:pPr>
      <w:r>
        <w:rPr>
          <w:color w:val="000000"/>
          <w:sz w:val="16"/>
        </w:rPr>
        <w:t xml:space="preserve"> </w:t>
      </w:r>
    </w:p>
    <w:sectPr w:rsidR="00C909BB">
      <w:pgSz w:w="11911" w:h="16841"/>
      <w:pgMar w:top="1502" w:right="946" w:bottom="157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90FE9"/>
    <w:multiLevelType w:val="hybridMultilevel"/>
    <w:tmpl w:val="4268ED32"/>
    <w:lvl w:ilvl="0" w:tplc="3934F74A">
      <w:start w:val="1"/>
      <w:numFmt w:val="bullet"/>
      <w:lvlText w:val="•"/>
      <w:lvlJc w:val="left"/>
      <w:pPr>
        <w:ind w:left="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865000">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9E37A0">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A60FF2">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5CD22E">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6C7CC6">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0A2ADC">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4468F2">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8A76A8">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78452BF"/>
    <w:multiLevelType w:val="hybridMultilevel"/>
    <w:tmpl w:val="65063328"/>
    <w:lvl w:ilvl="0" w:tplc="D50CC81E">
      <w:start w:val="1"/>
      <w:numFmt w:val="bullet"/>
      <w:lvlText w:val="•"/>
      <w:lvlJc w:val="left"/>
      <w:pPr>
        <w:ind w:left="806"/>
      </w:pPr>
      <w:rPr>
        <w:rFonts w:ascii="Arial" w:eastAsia="Arial" w:hAnsi="Arial" w:cs="Arial"/>
        <w:b w:val="0"/>
        <w:i w:val="0"/>
        <w:strike w:val="0"/>
        <w:dstrike w:val="0"/>
        <w:color w:val="525252"/>
        <w:sz w:val="20"/>
        <w:szCs w:val="20"/>
        <w:u w:val="none" w:color="000000"/>
        <w:bdr w:val="none" w:sz="0" w:space="0" w:color="auto"/>
        <w:shd w:val="clear" w:color="auto" w:fill="auto"/>
        <w:vertAlign w:val="baseline"/>
      </w:rPr>
    </w:lvl>
    <w:lvl w:ilvl="1" w:tplc="D4BA7568">
      <w:start w:val="1"/>
      <w:numFmt w:val="bullet"/>
      <w:lvlText w:val="o"/>
      <w:lvlJc w:val="left"/>
      <w:pPr>
        <w:ind w:left="1541"/>
      </w:pPr>
      <w:rPr>
        <w:rFonts w:ascii="Segoe UI Symbol" w:eastAsia="Segoe UI Symbol" w:hAnsi="Segoe UI Symbol" w:cs="Segoe UI Symbol"/>
        <w:b w:val="0"/>
        <w:i w:val="0"/>
        <w:strike w:val="0"/>
        <w:dstrike w:val="0"/>
        <w:color w:val="525252"/>
        <w:sz w:val="20"/>
        <w:szCs w:val="20"/>
        <w:u w:val="none" w:color="000000"/>
        <w:bdr w:val="none" w:sz="0" w:space="0" w:color="auto"/>
        <w:shd w:val="clear" w:color="auto" w:fill="auto"/>
        <w:vertAlign w:val="baseline"/>
      </w:rPr>
    </w:lvl>
    <w:lvl w:ilvl="2" w:tplc="B04CFBF8">
      <w:start w:val="1"/>
      <w:numFmt w:val="bullet"/>
      <w:lvlText w:val="▪"/>
      <w:lvlJc w:val="left"/>
      <w:pPr>
        <w:ind w:left="2261"/>
      </w:pPr>
      <w:rPr>
        <w:rFonts w:ascii="Segoe UI Symbol" w:eastAsia="Segoe UI Symbol" w:hAnsi="Segoe UI Symbol" w:cs="Segoe UI Symbol"/>
        <w:b w:val="0"/>
        <w:i w:val="0"/>
        <w:strike w:val="0"/>
        <w:dstrike w:val="0"/>
        <w:color w:val="525252"/>
        <w:sz w:val="20"/>
        <w:szCs w:val="20"/>
        <w:u w:val="none" w:color="000000"/>
        <w:bdr w:val="none" w:sz="0" w:space="0" w:color="auto"/>
        <w:shd w:val="clear" w:color="auto" w:fill="auto"/>
        <w:vertAlign w:val="baseline"/>
      </w:rPr>
    </w:lvl>
    <w:lvl w:ilvl="3" w:tplc="E5A80628">
      <w:start w:val="1"/>
      <w:numFmt w:val="bullet"/>
      <w:lvlText w:val="•"/>
      <w:lvlJc w:val="left"/>
      <w:pPr>
        <w:ind w:left="2981"/>
      </w:pPr>
      <w:rPr>
        <w:rFonts w:ascii="Arial" w:eastAsia="Arial" w:hAnsi="Arial" w:cs="Arial"/>
        <w:b w:val="0"/>
        <w:i w:val="0"/>
        <w:strike w:val="0"/>
        <w:dstrike w:val="0"/>
        <w:color w:val="525252"/>
        <w:sz w:val="20"/>
        <w:szCs w:val="20"/>
        <w:u w:val="none" w:color="000000"/>
        <w:bdr w:val="none" w:sz="0" w:space="0" w:color="auto"/>
        <w:shd w:val="clear" w:color="auto" w:fill="auto"/>
        <w:vertAlign w:val="baseline"/>
      </w:rPr>
    </w:lvl>
    <w:lvl w:ilvl="4" w:tplc="8F60C20E">
      <w:start w:val="1"/>
      <w:numFmt w:val="bullet"/>
      <w:lvlText w:val="o"/>
      <w:lvlJc w:val="left"/>
      <w:pPr>
        <w:ind w:left="3701"/>
      </w:pPr>
      <w:rPr>
        <w:rFonts w:ascii="Segoe UI Symbol" w:eastAsia="Segoe UI Symbol" w:hAnsi="Segoe UI Symbol" w:cs="Segoe UI Symbol"/>
        <w:b w:val="0"/>
        <w:i w:val="0"/>
        <w:strike w:val="0"/>
        <w:dstrike w:val="0"/>
        <w:color w:val="525252"/>
        <w:sz w:val="20"/>
        <w:szCs w:val="20"/>
        <w:u w:val="none" w:color="000000"/>
        <w:bdr w:val="none" w:sz="0" w:space="0" w:color="auto"/>
        <w:shd w:val="clear" w:color="auto" w:fill="auto"/>
        <w:vertAlign w:val="baseline"/>
      </w:rPr>
    </w:lvl>
    <w:lvl w:ilvl="5" w:tplc="1F3221B6">
      <w:start w:val="1"/>
      <w:numFmt w:val="bullet"/>
      <w:lvlText w:val="▪"/>
      <w:lvlJc w:val="left"/>
      <w:pPr>
        <w:ind w:left="4421"/>
      </w:pPr>
      <w:rPr>
        <w:rFonts w:ascii="Segoe UI Symbol" w:eastAsia="Segoe UI Symbol" w:hAnsi="Segoe UI Symbol" w:cs="Segoe UI Symbol"/>
        <w:b w:val="0"/>
        <w:i w:val="0"/>
        <w:strike w:val="0"/>
        <w:dstrike w:val="0"/>
        <w:color w:val="525252"/>
        <w:sz w:val="20"/>
        <w:szCs w:val="20"/>
        <w:u w:val="none" w:color="000000"/>
        <w:bdr w:val="none" w:sz="0" w:space="0" w:color="auto"/>
        <w:shd w:val="clear" w:color="auto" w:fill="auto"/>
        <w:vertAlign w:val="baseline"/>
      </w:rPr>
    </w:lvl>
    <w:lvl w:ilvl="6" w:tplc="C9CE8A82">
      <w:start w:val="1"/>
      <w:numFmt w:val="bullet"/>
      <w:lvlText w:val="•"/>
      <w:lvlJc w:val="left"/>
      <w:pPr>
        <w:ind w:left="5141"/>
      </w:pPr>
      <w:rPr>
        <w:rFonts w:ascii="Arial" w:eastAsia="Arial" w:hAnsi="Arial" w:cs="Arial"/>
        <w:b w:val="0"/>
        <w:i w:val="0"/>
        <w:strike w:val="0"/>
        <w:dstrike w:val="0"/>
        <w:color w:val="525252"/>
        <w:sz w:val="20"/>
        <w:szCs w:val="20"/>
        <w:u w:val="none" w:color="000000"/>
        <w:bdr w:val="none" w:sz="0" w:space="0" w:color="auto"/>
        <w:shd w:val="clear" w:color="auto" w:fill="auto"/>
        <w:vertAlign w:val="baseline"/>
      </w:rPr>
    </w:lvl>
    <w:lvl w:ilvl="7" w:tplc="24F073F4">
      <w:start w:val="1"/>
      <w:numFmt w:val="bullet"/>
      <w:lvlText w:val="o"/>
      <w:lvlJc w:val="left"/>
      <w:pPr>
        <w:ind w:left="5861"/>
      </w:pPr>
      <w:rPr>
        <w:rFonts w:ascii="Segoe UI Symbol" w:eastAsia="Segoe UI Symbol" w:hAnsi="Segoe UI Symbol" w:cs="Segoe UI Symbol"/>
        <w:b w:val="0"/>
        <w:i w:val="0"/>
        <w:strike w:val="0"/>
        <w:dstrike w:val="0"/>
        <w:color w:val="525252"/>
        <w:sz w:val="20"/>
        <w:szCs w:val="20"/>
        <w:u w:val="none" w:color="000000"/>
        <w:bdr w:val="none" w:sz="0" w:space="0" w:color="auto"/>
        <w:shd w:val="clear" w:color="auto" w:fill="auto"/>
        <w:vertAlign w:val="baseline"/>
      </w:rPr>
    </w:lvl>
    <w:lvl w:ilvl="8" w:tplc="E23471EC">
      <w:start w:val="1"/>
      <w:numFmt w:val="bullet"/>
      <w:lvlText w:val="▪"/>
      <w:lvlJc w:val="left"/>
      <w:pPr>
        <w:ind w:left="6581"/>
      </w:pPr>
      <w:rPr>
        <w:rFonts w:ascii="Segoe UI Symbol" w:eastAsia="Segoe UI Symbol" w:hAnsi="Segoe UI Symbol" w:cs="Segoe UI Symbol"/>
        <w:b w:val="0"/>
        <w:i w:val="0"/>
        <w:strike w:val="0"/>
        <w:dstrike w:val="0"/>
        <w:color w:val="525252"/>
        <w:sz w:val="20"/>
        <w:szCs w:val="20"/>
        <w:u w:val="none" w:color="000000"/>
        <w:bdr w:val="none" w:sz="0" w:space="0" w:color="auto"/>
        <w:shd w:val="clear" w:color="auto" w:fill="auto"/>
        <w:vertAlign w:val="baseline"/>
      </w:rPr>
    </w:lvl>
  </w:abstractNum>
  <w:num w:numId="1" w16cid:durableId="2058582009">
    <w:abstractNumId w:val="1"/>
  </w:num>
  <w:num w:numId="2" w16cid:durableId="56357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9BB"/>
    <w:rsid w:val="0041639E"/>
    <w:rsid w:val="00C9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CE05"/>
  <w15:docId w15:val="{8AA23689-9652-4D46-8CC7-F335511C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6" w:lineRule="auto"/>
      <w:ind w:left="111" w:right="655" w:hanging="10"/>
      <w:jc w:val="both"/>
    </w:pPr>
    <w:rPr>
      <w:rFonts w:ascii="Verdana" w:eastAsia="Verdana" w:hAnsi="Verdana" w:cs="Verdana"/>
      <w:color w:val="525252"/>
      <w:sz w:val="24"/>
    </w:rPr>
  </w:style>
  <w:style w:type="paragraph" w:styleId="Heading1">
    <w:name w:val="heading 1"/>
    <w:next w:val="Normal"/>
    <w:link w:val="Heading1Char"/>
    <w:uiPriority w:val="9"/>
    <w:qFormat/>
    <w:pPr>
      <w:keepNext/>
      <w:keepLines/>
      <w:spacing w:after="100"/>
      <w:ind w:left="229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0"/>
      <w:ind w:left="111" w:hanging="10"/>
      <w:outlineLvl w:val="1"/>
    </w:pPr>
    <w:rPr>
      <w:rFonts w:ascii="Tahoma" w:eastAsia="Tahoma" w:hAnsi="Tahoma" w:cs="Tahoma"/>
      <w:b/>
      <w:color w:val="25252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252525"/>
      <w:sz w:val="26"/>
    </w:rPr>
  </w:style>
  <w:style w:type="character" w:customStyle="1" w:styleId="Heading1Char">
    <w:name w:val="Heading 1 Char"/>
    <w:link w:val="Heading1"/>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ibm.com/in-en/cloud/openshift" TargetMode="External"/><Relationship Id="rId21" Type="http://schemas.openxmlformats.org/officeDocument/2006/relationships/hyperlink" Target="https://www.ibm.com/cloud/blog/the-benefits-of-containerization-and-what-it-means-for-you" TargetMode="External"/><Relationship Id="rId42" Type="http://schemas.openxmlformats.org/officeDocument/2006/relationships/hyperlink" Target="https://www.ibm.com/in-en/cloud/learn/microservices" TargetMode="External"/><Relationship Id="rId63" Type="http://schemas.openxmlformats.org/officeDocument/2006/relationships/hyperlink" Target="https://www.ibm.com/cloud/blog/scale-security-innovating-microservices-fast" TargetMode="External"/><Relationship Id="rId84" Type="http://schemas.openxmlformats.org/officeDocument/2006/relationships/hyperlink" Target="https://www.ibm.com/in-en/cloud/learn/virtualization-a-complete-guide" TargetMode="External"/><Relationship Id="rId138" Type="http://schemas.openxmlformats.org/officeDocument/2006/relationships/hyperlink" Target="https://www.ibm.com/legal/in/en/?lnk=flg" TargetMode="External"/><Relationship Id="rId107" Type="http://schemas.openxmlformats.org/officeDocument/2006/relationships/hyperlink" Target="https://cloud.ibm.com/registration" TargetMode="External"/><Relationship Id="rId11" Type="http://schemas.openxmlformats.org/officeDocument/2006/relationships/hyperlink" Target="https://www.ibm.com/in-en/cloud/learn/virtual-machines" TargetMode="External"/><Relationship Id="rId32" Type="http://schemas.openxmlformats.org/officeDocument/2006/relationships/hyperlink" Target="https://www.ibm.com/cloud/learn/cloud-database" TargetMode="External"/><Relationship Id="rId37" Type="http://schemas.openxmlformats.org/officeDocument/2006/relationships/hyperlink" Target="https://www.ibm.com/in-en/cloud/learn/microservices" TargetMode="External"/><Relationship Id="rId53" Type="http://schemas.openxmlformats.org/officeDocument/2006/relationships/hyperlink" Target="https://www.ibm.com/cloud/blog/scale-security-innovating-microservices-fast" TargetMode="External"/><Relationship Id="rId58" Type="http://schemas.openxmlformats.org/officeDocument/2006/relationships/hyperlink" Target="https://www.ibm.com/cloud/blog/scale-security-innovating-microservices-fast" TargetMode="External"/><Relationship Id="rId74" Type="http://schemas.openxmlformats.org/officeDocument/2006/relationships/hyperlink" Target="https://www.ibm.com/blogs/cloud-archive/2019/03/video-virtualization-in-2019/" TargetMode="External"/><Relationship Id="rId79" Type="http://schemas.openxmlformats.org/officeDocument/2006/relationships/hyperlink" Target="https://www.ibm.com/in-en/cloud/learn/virtualization-a-complete-guide" TargetMode="External"/><Relationship Id="rId102" Type="http://schemas.openxmlformats.org/officeDocument/2006/relationships/hyperlink" Target="https://www.ibm.com/account/reg/signup?formid=urx-38233" TargetMode="External"/><Relationship Id="rId123" Type="http://schemas.openxmlformats.org/officeDocument/2006/relationships/hyperlink" Target="https://www.ibm.com/in-en/cloud/openshift" TargetMode="External"/><Relationship Id="rId128" Type="http://schemas.openxmlformats.org/officeDocument/2006/relationships/hyperlink" Target="https://www.ibm.com/in-en/cloud/satellite" TargetMode="External"/><Relationship Id="rId5" Type="http://schemas.openxmlformats.org/officeDocument/2006/relationships/hyperlink" Target="https://www.ibm.com/in-en/cloud/learn/virtualization-a-complete-guide" TargetMode="External"/><Relationship Id="rId90" Type="http://schemas.openxmlformats.org/officeDocument/2006/relationships/hyperlink" Target="https://www.ibm.com/in-en/cloud/kubernetes-service" TargetMode="External"/><Relationship Id="rId95" Type="http://schemas.openxmlformats.org/officeDocument/2006/relationships/hyperlink" Target="https://www.ibm.com/account/reg/signup?formid=urx-38233" TargetMode="External"/><Relationship Id="rId22" Type="http://schemas.openxmlformats.org/officeDocument/2006/relationships/hyperlink" Target="https://www.ibm.com/cloud/blog/the-benefits-of-containerization-and-what-it-means-for-you" TargetMode="External"/><Relationship Id="rId27" Type="http://schemas.openxmlformats.org/officeDocument/2006/relationships/hyperlink" Target="https://www.ibm.com/cloud/blog/container-orchestration-explained" TargetMode="External"/><Relationship Id="rId43" Type="http://schemas.openxmlformats.org/officeDocument/2006/relationships/hyperlink" Target="https://www.ibm.com/in-en/cloud/learn/microservices" TargetMode="External"/><Relationship Id="rId48" Type="http://schemas.openxmlformats.org/officeDocument/2006/relationships/hyperlink" Target="https://www.ibm.com/cloud/blog/scale-security-innovating-microservices-fast" TargetMode="External"/><Relationship Id="rId64" Type="http://schemas.openxmlformats.org/officeDocument/2006/relationships/hyperlink" Target="https://www.ibm.com/cloud/blog/scale-security-innovating-microservices-fast" TargetMode="External"/><Relationship Id="rId69" Type="http://schemas.openxmlformats.org/officeDocument/2006/relationships/hyperlink" Target="https://www.ibm.com/blogs/cloud-archive/2019/03/video-virtualization-in-2019/" TargetMode="External"/><Relationship Id="rId113" Type="http://schemas.openxmlformats.org/officeDocument/2006/relationships/hyperlink" Target="https://www.ibm.com/in-en/cloud/openshift" TargetMode="External"/><Relationship Id="rId118" Type="http://schemas.openxmlformats.org/officeDocument/2006/relationships/hyperlink" Target="https://www.ibm.com/in-en/cloud/openshift" TargetMode="External"/><Relationship Id="rId134" Type="http://schemas.openxmlformats.org/officeDocument/2006/relationships/hyperlink" Target="https://www.ibm.com/legal/in/en/?lnk=flg" TargetMode="External"/><Relationship Id="rId139" Type="http://schemas.openxmlformats.org/officeDocument/2006/relationships/hyperlink" Target="https://www.ibm.com/able/?lnk=flg-able-inen" TargetMode="External"/><Relationship Id="rId80" Type="http://schemas.openxmlformats.org/officeDocument/2006/relationships/hyperlink" Target="https://www.ibm.com/in-en/cloud/learn/virtualization-a-complete-guide" TargetMode="External"/><Relationship Id="rId85" Type="http://schemas.openxmlformats.org/officeDocument/2006/relationships/hyperlink" Target="https://www.ibm.com/in-en/cloud/kubernetes-service" TargetMode="External"/><Relationship Id="rId12" Type="http://schemas.openxmlformats.org/officeDocument/2006/relationships/hyperlink" Target="https://www.ibm.com/in-en/cloud/learn/docker" TargetMode="External"/><Relationship Id="rId17" Type="http://schemas.openxmlformats.org/officeDocument/2006/relationships/hyperlink" Target="https://www.ibm.com/cloud/blog/the-benefits-of-containerization-and-what-it-means-for-you" TargetMode="External"/><Relationship Id="rId33" Type="http://schemas.openxmlformats.org/officeDocument/2006/relationships/hyperlink" Target="https://www.ibm.com/cloud/learn/cloud-database" TargetMode="External"/><Relationship Id="rId38" Type="http://schemas.openxmlformats.org/officeDocument/2006/relationships/hyperlink" Target="https://www.ibm.com/in-en/cloud/learn/microservices" TargetMode="External"/><Relationship Id="rId59" Type="http://schemas.openxmlformats.org/officeDocument/2006/relationships/hyperlink" Target="https://www.ibm.com/cloud/blog/scale-security-innovating-microservices-fast" TargetMode="External"/><Relationship Id="rId103" Type="http://schemas.openxmlformats.org/officeDocument/2006/relationships/hyperlink" Target="https://www.ibm.com/account/reg/signup?formid=urx-38233" TargetMode="External"/><Relationship Id="rId108" Type="http://schemas.openxmlformats.org/officeDocument/2006/relationships/hyperlink" Target="https://cloud.ibm.com/registration" TargetMode="External"/><Relationship Id="rId124" Type="http://schemas.openxmlformats.org/officeDocument/2006/relationships/hyperlink" Target="https://www.ibm.com/in-en/cloud/satellite" TargetMode="External"/><Relationship Id="rId129" Type="http://schemas.openxmlformats.org/officeDocument/2006/relationships/hyperlink" Target="https://www.ibm.com/contact/in/en/?lnk=flg" TargetMode="External"/><Relationship Id="rId54" Type="http://schemas.openxmlformats.org/officeDocument/2006/relationships/hyperlink" Target="https://www.ibm.com/cloud/blog/scale-security-innovating-microservices-fast" TargetMode="External"/><Relationship Id="rId70" Type="http://schemas.openxmlformats.org/officeDocument/2006/relationships/hyperlink" Target="https://www.ibm.com/blogs/cloud-archive/2019/03/video-virtualization-in-2019/" TargetMode="External"/><Relationship Id="rId75" Type="http://schemas.openxmlformats.org/officeDocument/2006/relationships/hyperlink" Target="https://www.ibm.com/blogs/cloud-archive/2019/03/video-virtualization-in-2019/" TargetMode="External"/><Relationship Id="rId91" Type="http://schemas.openxmlformats.org/officeDocument/2006/relationships/hyperlink" Target="https://www.ibm.com/in-en/cloud/kubernetes-service" TargetMode="External"/><Relationship Id="rId96" Type="http://schemas.openxmlformats.org/officeDocument/2006/relationships/hyperlink" Target="https://www.ibm.com/account/reg/signup?formid=urx-38233" TargetMode="External"/><Relationship Id="rId140" Type="http://schemas.openxmlformats.org/officeDocument/2006/relationships/hyperlink" Target="https://www.ibm.com/able/?lnk=flg-able-inen" TargetMode="External"/><Relationship Id="rId1" Type="http://schemas.openxmlformats.org/officeDocument/2006/relationships/numbering" Target="numbering.xml"/><Relationship Id="rId6" Type="http://schemas.openxmlformats.org/officeDocument/2006/relationships/hyperlink" Target="https://www.ibm.com/in-en/cloud/learn/virtual-machines" TargetMode="External"/><Relationship Id="rId23" Type="http://schemas.openxmlformats.org/officeDocument/2006/relationships/hyperlink" Target="https://www.ibm.com/cloud/blog/the-benefits-of-containerization-and-what-it-means-for-you" TargetMode="External"/><Relationship Id="rId28" Type="http://schemas.openxmlformats.org/officeDocument/2006/relationships/hyperlink" Target="https://www.ibm.com/in-en/cloud/learn/kubernetes" TargetMode="External"/><Relationship Id="rId49" Type="http://schemas.openxmlformats.org/officeDocument/2006/relationships/hyperlink" Target="https://www.ibm.com/cloud/blog/scale-security-innovating-microservices-fast" TargetMode="External"/><Relationship Id="rId114" Type="http://schemas.openxmlformats.org/officeDocument/2006/relationships/hyperlink" Target="https://www.ibm.com/in-en/cloud/openshift" TargetMode="External"/><Relationship Id="rId119" Type="http://schemas.openxmlformats.org/officeDocument/2006/relationships/hyperlink" Target="https://www.ibm.com/in-en/cloud/openshift" TargetMode="External"/><Relationship Id="rId44" Type="http://schemas.openxmlformats.org/officeDocument/2006/relationships/hyperlink" Target="https://www.ibm.com/in-en/cloud/learn/microservices" TargetMode="External"/><Relationship Id="rId60" Type="http://schemas.openxmlformats.org/officeDocument/2006/relationships/hyperlink" Target="https://www.ibm.com/cloud/blog/scale-security-innovating-microservices-fast" TargetMode="External"/><Relationship Id="rId65" Type="http://schemas.openxmlformats.org/officeDocument/2006/relationships/hyperlink" Target="https://www.ibm.com/cloud/blog/scale-security-innovating-microservices-fast" TargetMode="External"/><Relationship Id="rId81" Type="http://schemas.openxmlformats.org/officeDocument/2006/relationships/hyperlink" Target="https://www.ibm.com/in-en/cloud/learn/virtualization-a-complete-guide" TargetMode="External"/><Relationship Id="rId86" Type="http://schemas.openxmlformats.org/officeDocument/2006/relationships/hyperlink" Target="https://www.ibm.com/in-en/cloud/kubernetes-service" TargetMode="External"/><Relationship Id="rId130" Type="http://schemas.openxmlformats.org/officeDocument/2006/relationships/hyperlink" Target="https://www.ibm.com/contact/in/en/?lnk=flg" TargetMode="External"/><Relationship Id="rId135" Type="http://schemas.openxmlformats.org/officeDocument/2006/relationships/hyperlink" Target="https://www.ibm.com/legal/in/en/?lnk=flg" TargetMode="External"/><Relationship Id="rId13" Type="http://schemas.openxmlformats.org/officeDocument/2006/relationships/hyperlink" Target="https://www.ibm.com/in-en/cloud/learn/docker" TargetMode="External"/><Relationship Id="rId18" Type="http://schemas.openxmlformats.org/officeDocument/2006/relationships/hyperlink" Target="https://www.ibm.com/cloud/blog/the-benefits-of-containerization-and-what-it-means-for-you" TargetMode="External"/><Relationship Id="rId39" Type="http://schemas.openxmlformats.org/officeDocument/2006/relationships/hyperlink" Target="https://www.ibm.com/in-en/cloud/learn/microservices" TargetMode="External"/><Relationship Id="rId109" Type="http://schemas.openxmlformats.org/officeDocument/2006/relationships/hyperlink" Target="https://cloud.ibm.com/registration" TargetMode="External"/><Relationship Id="rId34" Type="http://schemas.openxmlformats.org/officeDocument/2006/relationships/hyperlink" Target="https://www.ibm.com/cloud/learn/cloud-computing-gbl" TargetMode="External"/><Relationship Id="rId50" Type="http://schemas.openxmlformats.org/officeDocument/2006/relationships/hyperlink" Target="https://www.ibm.com/cloud/blog/scale-security-innovating-microservices-fast" TargetMode="External"/><Relationship Id="rId55" Type="http://schemas.openxmlformats.org/officeDocument/2006/relationships/hyperlink" Target="https://www.ibm.com/cloud/blog/scale-security-innovating-microservices-fast" TargetMode="External"/><Relationship Id="rId76" Type="http://schemas.openxmlformats.org/officeDocument/2006/relationships/hyperlink" Target="https://www.ibm.com/in-en/cloud/learn/virtualization-a-complete-guide" TargetMode="External"/><Relationship Id="rId97" Type="http://schemas.openxmlformats.org/officeDocument/2006/relationships/hyperlink" Target="https://www.ibm.com/account/reg/signup?formid=urx-38233" TargetMode="External"/><Relationship Id="rId104" Type="http://schemas.openxmlformats.org/officeDocument/2006/relationships/hyperlink" Target="https://cloud.ibm.com/registration" TargetMode="External"/><Relationship Id="rId120" Type="http://schemas.openxmlformats.org/officeDocument/2006/relationships/hyperlink" Target="https://www.ibm.com/in-en/cloud/openshift" TargetMode="External"/><Relationship Id="rId125" Type="http://schemas.openxmlformats.org/officeDocument/2006/relationships/hyperlink" Target="https://www.ibm.com/in-en/cloud/satellite" TargetMode="External"/><Relationship Id="rId141" Type="http://schemas.openxmlformats.org/officeDocument/2006/relationships/fontTable" Target="fontTable.xml"/><Relationship Id="rId7" Type="http://schemas.openxmlformats.org/officeDocument/2006/relationships/hyperlink" Target="https://www.ibm.com/in-en/cloud/learn/virtual-machines" TargetMode="External"/><Relationship Id="rId71" Type="http://schemas.openxmlformats.org/officeDocument/2006/relationships/hyperlink" Target="https://www.ibm.com/blogs/cloud-archive/2019/03/video-virtualization-in-2019/" TargetMode="External"/><Relationship Id="rId92" Type="http://schemas.openxmlformats.org/officeDocument/2006/relationships/hyperlink" Target="https://www.ibm.com/in-en/cloud/kubernetes-service" TargetMode="External"/><Relationship Id="rId2" Type="http://schemas.openxmlformats.org/officeDocument/2006/relationships/styles" Target="styles.xml"/><Relationship Id="rId29" Type="http://schemas.openxmlformats.org/officeDocument/2006/relationships/hyperlink" Target="https://www.ibm.com/in-en/cloud/learn/kubernetes" TargetMode="External"/><Relationship Id="rId24" Type="http://schemas.openxmlformats.org/officeDocument/2006/relationships/hyperlink" Target="https://www.ibm.com/in-en/cloud/learn/devops-a-complete-guide" TargetMode="External"/><Relationship Id="rId40" Type="http://schemas.openxmlformats.org/officeDocument/2006/relationships/hyperlink" Target="https://www.ibm.com/in-en/cloud/learn/microservices" TargetMode="External"/><Relationship Id="rId45" Type="http://schemas.openxmlformats.org/officeDocument/2006/relationships/hyperlink" Target="https://cloud.ibm.com/docs/containers?topic=containers-security&amp;images_registry" TargetMode="External"/><Relationship Id="rId66" Type="http://schemas.openxmlformats.org/officeDocument/2006/relationships/hyperlink" Target="https://www.ibm.com/cloud/blog/scale-security-innovating-microservices-fast" TargetMode="External"/><Relationship Id="rId87" Type="http://schemas.openxmlformats.org/officeDocument/2006/relationships/hyperlink" Target="https://www.ibm.com/in-en/cloud/kubernetes-service" TargetMode="External"/><Relationship Id="rId110" Type="http://schemas.openxmlformats.org/officeDocument/2006/relationships/hyperlink" Target="https://cloud.ibm.com/registration" TargetMode="External"/><Relationship Id="rId115" Type="http://schemas.openxmlformats.org/officeDocument/2006/relationships/hyperlink" Target="https://www.ibm.com/in-en/cloud/openshift" TargetMode="External"/><Relationship Id="rId131" Type="http://schemas.openxmlformats.org/officeDocument/2006/relationships/hyperlink" Target="https://www.ibm.com/privacy?lnk=flg-priv-inen" TargetMode="External"/><Relationship Id="rId136" Type="http://schemas.openxmlformats.org/officeDocument/2006/relationships/hyperlink" Target="https://www.ibm.com/legal/in/en/?lnk=flg" TargetMode="External"/><Relationship Id="rId61" Type="http://schemas.openxmlformats.org/officeDocument/2006/relationships/hyperlink" Target="https://www.ibm.com/cloud/blog/scale-security-innovating-microservices-fast" TargetMode="External"/><Relationship Id="rId82" Type="http://schemas.openxmlformats.org/officeDocument/2006/relationships/hyperlink" Target="https://www.ibm.com/in-en/cloud/learn/virtualization-a-complete-guide" TargetMode="External"/><Relationship Id="rId19" Type="http://schemas.openxmlformats.org/officeDocument/2006/relationships/hyperlink" Target="https://www.ibm.com/cloud/blog/the-benefits-of-containerization-and-what-it-means-for-you" TargetMode="External"/><Relationship Id="rId14" Type="http://schemas.openxmlformats.org/officeDocument/2006/relationships/hyperlink" Target="https://www.ibm.com/in-en/cloud/learn/containers" TargetMode="External"/><Relationship Id="rId30" Type="http://schemas.openxmlformats.org/officeDocument/2006/relationships/hyperlink" Target="https://www.ibm.com/cloud/learn/cloud-database" TargetMode="External"/><Relationship Id="rId35" Type="http://schemas.openxmlformats.org/officeDocument/2006/relationships/hyperlink" Target="https://www.ibm.com/cloud/learn/cloud-computing-gbl" TargetMode="External"/><Relationship Id="rId56" Type="http://schemas.openxmlformats.org/officeDocument/2006/relationships/hyperlink" Target="https://www.ibm.com/cloud/blog/scale-security-innovating-microservices-fast" TargetMode="External"/><Relationship Id="rId77" Type="http://schemas.openxmlformats.org/officeDocument/2006/relationships/hyperlink" Target="https://www.ibm.com/in-en/cloud/learn/virtualization-a-complete-guide" TargetMode="External"/><Relationship Id="rId100" Type="http://schemas.openxmlformats.org/officeDocument/2006/relationships/hyperlink" Target="https://www.ibm.com/account/reg/signup?formid=urx-38233" TargetMode="External"/><Relationship Id="rId105" Type="http://schemas.openxmlformats.org/officeDocument/2006/relationships/hyperlink" Target="https://cloud.ibm.com/registration" TargetMode="External"/><Relationship Id="rId126" Type="http://schemas.openxmlformats.org/officeDocument/2006/relationships/hyperlink" Target="https://www.ibm.com/in-en/cloud/satellite" TargetMode="External"/><Relationship Id="rId8" Type="http://schemas.openxmlformats.org/officeDocument/2006/relationships/hyperlink" Target="https://www.ibm.com/in-en/cloud/learn/virtual-machines" TargetMode="External"/><Relationship Id="rId51" Type="http://schemas.openxmlformats.org/officeDocument/2006/relationships/hyperlink" Target="https://www.ibm.com/cloud/blog/scale-security-innovating-microservices-fast" TargetMode="External"/><Relationship Id="rId72" Type="http://schemas.openxmlformats.org/officeDocument/2006/relationships/hyperlink" Target="https://www.ibm.com/blogs/cloud-archive/2019/03/video-virtualization-in-2019/" TargetMode="External"/><Relationship Id="rId93" Type="http://schemas.openxmlformats.org/officeDocument/2006/relationships/hyperlink" Target="https://www.ibm.com/in-en/cloud/kubernetes-service" TargetMode="External"/><Relationship Id="rId98" Type="http://schemas.openxmlformats.org/officeDocument/2006/relationships/hyperlink" Target="https://www.ibm.com/account/reg/signup?formid=urx-38233" TargetMode="External"/><Relationship Id="rId121" Type="http://schemas.openxmlformats.org/officeDocument/2006/relationships/hyperlink" Target="https://www.ibm.com/in-en/cloud/openshift"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ibm.com/in-en/cloud/learn/devops-a-complete-guide" TargetMode="External"/><Relationship Id="rId46" Type="http://schemas.openxmlformats.org/officeDocument/2006/relationships/hyperlink" Target="https://cloud.ibm.com/docs/containers?topic=containers-security&amp;images_registry" TargetMode="External"/><Relationship Id="rId67" Type="http://schemas.openxmlformats.org/officeDocument/2006/relationships/hyperlink" Target="https://www.ibm.com/cloud/blog/scale-security-innovating-microservices-fast" TargetMode="External"/><Relationship Id="rId116" Type="http://schemas.openxmlformats.org/officeDocument/2006/relationships/hyperlink" Target="https://www.ibm.com/in-en/cloud/openshift" TargetMode="External"/><Relationship Id="rId137" Type="http://schemas.openxmlformats.org/officeDocument/2006/relationships/hyperlink" Target="https://www.ibm.com/legal/in/en/?lnk=flg" TargetMode="External"/><Relationship Id="rId20" Type="http://schemas.openxmlformats.org/officeDocument/2006/relationships/hyperlink" Target="https://www.ibm.com/cloud/blog/the-benefits-of-containerization-and-what-it-means-for-you" TargetMode="External"/><Relationship Id="rId41" Type="http://schemas.openxmlformats.org/officeDocument/2006/relationships/hyperlink" Target="https://www.ibm.com/in-en/cloud/learn/microservices" TargetMode="External"/><Relationship Id="rId62" Type="http://schemas.openxmlformats.org/officeDocument/2006/relationships/hyperlink" Target="https://www.ibm.com/cloud/blog/scale-security-innovating-microservices-fast" TargetMode="External"/><Relationship Id="rId83" Type="http://schemas.openxmlformats.org/officeDocument/2006/relationships/hyperlink" Target="https://www.ibm.com/in-en/cloud/learn/virtualization-a-complete-guide" TargetMode="External"/><Relationship Id="rId88" Type="http://schemas.openxmlformats.org/officeDocument/2006/relationships/hyperlink" Target="https://www.ibm.com/in-en/cloud/kubernetes-service" TargetMode="External"/><Relationship Id="rId111" Type="http://schemas.openxmlformats.org/officeDocument/2006/relationships/hyperlink" Target="https://cloud.ibm.com/registration" TargetMode="External"/><Relationship Id="rId132" Type="http://schemas.openxmlformats.org/officeDocument/2006/relationships/hyperlink" Target="https://www.ibm.com/privacy?lnk=flg-priv-inen" TargetMode="External"/><Relationship Id="rId15" Type="http://schemas.openxmlformats.org/officeDocument/2006/relationships/hyperlink" Target="https://www.ibm.com/in-en/cloud/learn/containers" TargetMode="External"/><Relationship Id="rId36" Type="http://schemas.openxmlformats.org/officeDocument/2006/relationships/hyperlink" Target="https://www.ibm.com/in-en/cloud/learn/microservices" TargetMode="External"/><Relationship Id="rId57" Type="http://schemas.openxmlformats.org/officeDocument/2006/relationships/hyperlink" Target="https://www.ibm.com/cloud/blog/scale-security-innovating-microservices-fast" TargetMode="External"/><Relationship Id="rId106" Type="http://schemas.openxmlformats.org/officeDocument/2006/relationships/hyperlink" Target="https://cloud.ibm.com/registration" TargetMode="External"/><Relationship Id="rId127" Type="http://schemas.openxmlformats.org/officeDocument/2006/relationships/hyperlink" Target="https://www.ibm.com/in-en/cloud/satellite" TargetMode="External"/><Relationship Id="rId10" Type="http://schemas.openxmlformats.org/officeDocument/2006/relationships/hyperlink" Target="https://www.ibm.com/in-en/cloud/learn/virtual-machines" TargetMode="External"/><Relationship Id="rId31" Type="http://schemas.openxmlformats.org/officeDocument/2006/relationships/hyperlink" Target="https://www.ibm.com/cloud/learn/cloud-database" TargetMode="External"/><Relationship Id="rId52" Type="http://schemas.openxmlformats.org/officeDocument/2006/relationships/hyperlink" Target="https://www.ibm.com/cloud/blog/scale-security-innovating-microservices-fast" TargetMode="External"/><Relationship Id="rId73" Type="http://schemas.openxmlformats.org/officeDocument/2006/relationships/hyperlink" Target="https://www.ibm.com/blogs/cloud-archive/2019/03/video-virtualization-in-2019/" TargetMode="External"/><Relationship Id="rId78" Type="http://schemas.openxmlformats.org/officeDocument/2006/relationships/hyperlink" Target="https://www.ibm.com/in-en/cloud/learn/virtualization-a-complete-guide" TargetMode="External"/><Relationship Id="rId94" Type="http://schemas.openxmlformats.org/officeDocument/2006/relationships/hyperlink" Target="https://www.ibm.com/account/reg/signup?formid=urx-38233" TargetMode="External"/><Relationship Id="rId99" Type="http://schemas.openxmlformats.org/officeDocument/2006/relationships/hyperlink" Target="https://www.ibm.com/account/reg/signup?formid=urx-38233" TargetMode="External"/><Relationship Id="rId101" Type="http://schemas.openxmlformats.org/officeDocument/2006/relationships/hyperlink" Target="https://www.ibm.com/account/reg/signup?formid=urx-38233" TargetMode="External"/><Relationship Id="rId122" Type="http://schemas.openxmlformats.org/officeDocument/2006/relationships/hyperlink" Target="https://www.ibm.com/in-en/cloud/openshift" TargetMode="External"/><Relationship Id="rId4" Type="http://schemas.openxmlformats.org/officeDocument/2006/relationships/webSettings" Target="webSettings.xml"/><Relationship Id="rId9" Type="http://schemas.openxmlformats.org/officeDocument/2006/relationships/hyperlink" Target="https://www.ibm.com/in-en/cloud/learn/virtual-machines" TargetMode="External"/><Relationship Id="rId26" Type="http://schemas.openxmlformats.org/officeDocument/2006/relationships/hyperlink" Target="https://www.ibm.com/cloud/blog/container-orchestration-explained" TargetMode="External"/><Relationship Id="rId47" Type="http://schemas.openxmlformats.org/officeDocument/2006/relationships/hyperlink" Target="https://www.ibm.com/cloud/blog/scale-security-innovating-microservices-fast" TargetMode="External"/><Relationship Id="rId68" Type="http://schemas.openxmlformats.org/officeDocument/2006/relationships/hyperlink" Target="https://www.ibm.com/cloud/blog/scale-security-innovating-microservices-fast" TargetMode="External"/><Relationship Id="rId89" Type="http://schemas.openxmlformats.org/officeDocument/2006/relationships/hyperlink" Target="https://www.ibm.com/in-en/cloud/kubernetes-service" TargetMode="External"/><Relationship Id="rId112" Type="http://schemas.openxmlformats.org/officeDocument/2006/relationships/hyperlink" Target="https://www.ibm.com/in-en/cloud/openshift" TargetMode="External"/><Relationship Id="rId133" Type="http://schemas.openxmlformats.org/officeDocument/2006/relationships/hyperlink" Target="https://www.ibm.com/legal/in/en/?lnk=flg" TargetMode="External"/><Relationship Id="rId16" Type="http://schemas.openxmlformats.org/officeDocument/2006/relationships/hyperlink" Target="https://www.ibm.com/in-en/cloud/learn/cont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4296</Words>
  <Characters>24491</Characters>
  <Application>Microsoft Office Word</Application>
  <DocSecurity>0</DocSecurity>
  <Lines>204</Lines>
  <Paragraphs>57</Paragraphs>
  <ScaleCrop>false</ScaleCrop>
  <Company/>
  <LinksUpToDate>false</LinksUpToDate>
  <CharactersWithSpaces>28730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g</dc:creator>
  <cp:keywords/>
  <cp:lastModifiedBy>Maithreyan B</cp:lastModifiedBy>
  <cp:revision>2</cp:revision>
  <dcterms:created xsi:type="dcterms:W3CDTF">2022-11-19T13:23:00Z</dcterms:created>
  <dcterms:modified xsi:type="dcterms:W3CDTF">2022-11-19T13:23:00Z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1702885226</vt:i4>
  </property>
</Properties>
</file>