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D9" w:rsidRDefault="00584798">
      <w:pPr>
        <w:spacing w:before="6"/>
        <w:ind w:left="1513" w:right="1885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Phase-II</w:t>
      </w:r>
    </w:p>
    <w:p w:rsidR="00461ED9" w:rsidRDefault="00584798">
      <w:pPr>
        <w:spacing w:before="34"/>
        <w:ind w:left="1513" w:right="1885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(Functional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Non-functional)</w:t>
      </w:r>
    </w:p>
    <w:p w:rsidR="00461ED9" w:rsidRDefault="00461ED9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0"/>
        <w:gridCol w:w="4800"/>
      </w:tblGrid>
      <w:tr w:rsidR="00461ED9">
        <w:trPr>
          <w:trHeight w:val="670"/>
        </w:trPr>
        <w:tc>
          <w:tcPr>
            <w:tcW w:w="4560" w:type="dxa"/>
          </w:tcPr>
          <w:p w:rsidR="00461ED9" w:rsidRDefault="00584798">
            <w:pPr>
              <w:pStyle w:val="TableParagraph"/>
              <w:spacing w:before="270" w:line="380" w:lineRule="exact"/>
              <w:rPr>
                <w:b/>
                <w:sz w:val="34"/>
              </w:rPr>
            </w:pPr>
            <w:r>
              <w:rPr>
                <w:b/>
                <w:sz w:val="34"/>
              </w:rPr>
              <w:t>Date</w:t>
            </w:r>
          </w:p>
        </w:tc>
        <w:tc>
          <w:tcPr>
            <w:tcW w:w="4800" w:type="dxa"/>
          </w:tcPr>
          <w:p w:rsidR="00461ED9" w:rsidRDefault="00584798">
            <w:pPr>
              <w:pStyle w:val="TableParagraph"/>
              <w:spacing w:before="270" w:line="380" w:lineRule="exact"/>
              <w:rPr>
                <w:sz w:val="32"/>
              </w:rPr>
            </w:pPr>
            <w:r>
              <w:rPr>
                <w:sz w:val="32"/>
              </w:rPr>
              <w:t>13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461ED9">
        <w:trPr>
          <w:trHeight w:val="429"/>
        </w:trPr>
        <w:tc>
          <w:tcPr>
            <w:tcW w:w="4560" w:type="dxa"/>
          </w:tcPr>
          <w:p w:rsidR="00461ED9" w:rsidRDefault="00584798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800" w:type="dxa"/>
          </w:tcPr>
          <w:p w:rsidR="00461ED9" w:rsidRDefault="00F3234C">
            <w:pPr>
              <w:pStyle w:val="TableParagraph"/>
              <w:spacing w:line="366" w:lineRule="exact"/>
              <w:rPr>
                <w:sz w:val="30"/>
              </w:rPr>
            </w:pPr>
            <w:r>
              <w:rPr>
                <w:sz w:val="30"/>
              </w:rPr>
              <w:t>PNT2022TMID33575</w:t>
            </w:r>
          </w:p>
        </w:tc>
      </w:tr>
      <w:tr w:rsidR="00461ED9">
        <w:trPr>
          <w:trHeight w:val="1149"/>
        </w:trPr>
        <w:tc>
          <w:tcPr>
            <w:tcW w:w="4560" w:type="dxa"/>
          </w:tcPr>
          <w:p w:rsidR="00461ED9" w:rsidRDefault="00584798">
            <w:pPr>
              <w:pStyle w:val="TableParagraph"/>
              <w:spacing w:before="5"/>
              <w:rPr>
                <w:b/>
                <w:sz w:val="34"/>
              </w:rPr>
            </w:pPr>
            <w:r>
              <w:rPr>
                <w:b/>
                <w:sz w:val="34"/>
              </w:rPr>
              <w:t>Project</w:t>
            </w:r>
            <w:r>
              <w:rPr>
                <w:b/>
                <w:spacing w:val="-7"/>
                <w:sz w:val="34"/>
              </w:rPr>
              <w:t xml:space="preserve"> </w:t>
            </w:r>
            <w:r>
              <w:rPr>
                <w:b/>
                <w:sz w:val="34"/>
              </w:rPr>
              <w:t>Name</w:t>
            </w:r>
          </w:p>
        </w:tc>
        <w:tc>
          <w:tcPr>
            <w:tcW w:w="4800" w:type="dxa"/>
          </w:tcPr>
          <w:p w:rsidR="00461ED9" w:rsidRDefault="00584798">
            <w:pPr>
              <w:pStyle w:val="TableParagraph"/>
              <w:spacing w:line="390" w:lineRule="atLeast"/>
              <w:rPr>
                <w:sz w:val="32"/>
              </w:rPr>
            </w:pPr>
            <w:r>
              <w:rPr>
                <w:sz w:val="32"/>
              </w:rPr>
              <w:t>Natural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disaster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intensity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analysis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and classification using artificial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intelligence</w:t>
            </w:r>
          </w:p>
        </w:tc>
      </w:tr>
      <w:tr w:rsidR="00461ED9">
        <w:trPr>
          <w:trHeight w:val="648"/>
        </w:trPr>
        <w:tc>
          <w:tcPr>
            <w:tcW w:w="4560" w:type="dxa"/>
          </w:tcPr>
          <w:p w:rsidR="00461ED9" w:rsidRDefault="00584798">
            <w:pPr>
              <w:pStyle w:val="TableParagraph"/>
              <w:spacing w:line="430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Maximum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Marks</w:t>
            </w:r>
          </w:p>
        </w:tc>
        <w:tc>
          <w:tcPr>
            <w:tcW w:w="4800" w:type="dxa"/>
          </w:tcPr>
          <w:p w:rsidR="00461ED9" w:rsidRDefault="00584798">
            <w:pPr>
              <w:pStyle w:val="TableParagraph"/>
              <w:spacing w:line="356" w:lineRule="exact"/>
              <w:rPr>
                <w:sz w:val="30"/>
              </w:rPr>
            </w:pPr>
            <w:r>
              <w:rPr>
                <w:sz w:val="30"/>
              </w:rPr>
              <w:t>4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Marks</w:t>
            </w:r>
          </w:p>
        </w:tc>
      </w:tr>
    </w:tbl>
    <w:p w:rsidR="00461ED9" w:rsidRDefault="00461ED9">
      <w:pPr>
        <w:pStyle w:val="BodyText"/>
        <w:rPr>
          <w:b/>
          <w:sz w:val="32"/>
        </w:rPr>
      </w:pPr>
    </w:p>
    <w:p w:rsidR="00461ED9" w:rsidRDefault="00584798">
      <w:pPr>
        <w:pStyle w:val="Title"/>
      </w:pPr>
      <w:r>
        <w:t>Functional</w:t>
      </w:r>
      <w:r>
        <w:rPr>
          <w:spacing w:val="-15"/>
        </w:rPr>
        <w:t xml:space="preserve"> </w:t>
      </w:r>
      <w:r>
        <w:t>Requirements:</w:t>
      </w:r>
    </w:p>
    <w:p w:rsidR="00461ED9" w:rsidRDefault="00584798">
      <w:pPr>
        <w:spacing w:before="195"/>
        <w:ind w:left="540"/>
        <w:rPr>
          <w:sz w:val="30"/>
        </w:rPr>
      </w:pPr>
      <w:r>
        <w:rPr>
          <w:sz w:val="30"/>
        </w:rPr>
        <w:t>Following</w:t>
      </w:r>
      <w:r>
        <w:rPr>
          <w:spacing w:val="-3"/>
          <w:sz w:val="30"/>
        </w:rPr>
        <w:t xml:space="preserve"> </w:t>
      </w:r>
      <w:r>
        <w:rPr>
          <w:sz w:val="30"/>
        </w:rPr>
        <w:t>are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functional</w:t>
      </w:r>
      <w:r>
        <w:rPr>
          <w:spacing w:val="-3"/>
          <w:sz w:val="30"/>
        </w:rPr>
        <w:t xml:space="preserve"> </w:t>
      </w:r>
      <w:r>
        <w:rPr>
          <w:sz w:val="30"/>
        </w:rPr>
        <w:t>requirements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proposed</w:t>
      </w:r>
      <w:r>
        <w:rPr>
          <w:spacing w:val="-3"/>
          <w:sz w:val="30"/>
        </w:rPr>
        <w:t xml:space="preserve"> </w:t>
      </w:r>
      <w:r>
        <w:rPr>
          <w:sz w:val="30"/>
        </w:rPr>
        <w:t>solution.</w:t>
      </w:r>
    </w:p>
    <w:p w:rsidR="00461ED9" w:rsidRDefault="00461ED9">
      <w:pPr>
        <w:pStyle w:val="BodyText"/>
        <w:rPr>
          <w:sz w:val="20"/>
        </w:rPr>
      </w:pPr>
    </w:p>
    <w:p w:rsidR="00461ED9" w:rsidRDefault="00461ED9">
      <w:pPr>
        <w:pStyle w:val="BodyText"/>
        <w:rPr>
          <w:sz w:val="20"/>
        </w:rPr>
      </w:pPr>
    </w:p>
    <w:p w:rsidR="00461ED9" w:rsidRDefault="00461ED9">
      <w:pPr>
        <w:pStyle w:val="BodyText"/>
        <w:spacing w:before="6"/>
        <w:rPr>
          <w:sz w:val="19"/>
        </w:rPr>
      </w:pPr>
    </w:p>
    <w:tbl>
      <w:tblPr>
        <w:tblW w:w="0" w:type="auto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8780"/>
      </w:tblGrid>
      <w:tr w:rsidR="00461ED9">
        <w:trPr>
          <w:trHeight w:val="310"/>
        </w:trPr>
        <w:tc>
          <w:tcPr>
            <w:tcW w:w="920" w:type="dxa"/>
          </w:tcPr>
          <w:p w:rsidR="00461ED9" w:rsidRDefault="00584798">
            <w:pPr>
              <w:pStyle w:val="TableParagraph"/>
              <w:spacing w:before="7" w:line="28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8780" w:type="dxa"/>
          </w:tcPr>
          <w:p w:rsidR="00461ED9" w:rsidRDefault="00584798">
            <w:pPr>
              <w:pStyle w:val="TableParagraph"/>
              <w:spacing w:before="7" w:line="283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Sub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(Story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Sub-Task)</w:t>
            </w:r>
          </w:p>
        </w:tc>
      </w:tr>
      <w:tr w:rsidR="00461ED9">
        <w:trPr>
          <w:trHeight w:val="1449"/>
        </w:trPr>
        <w:tc>
          <w:tcPr>
            <w:tcW w:w="920" w:type="dxa"/>
          </w:tcPr>
          <w:p w:rsidR="00461ED9" w:rsidRDefault="00584798">
            <w:pPr>
              <w:pStyle w:val="TableParagraph"/>
              <w:spacing w:before="12"/>
              <w:ind w:left="105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8780" w:type="dxa"/>
          </w:tcPr>
          <w:p w:rsidR="00461ED9" w:rsidRDefault="00584798">
            <w:pPr>
              <w:pStyle w:val="TableParagraph"/>
              <w:spacing w:before="16" w:line="237" w:lineRule="auto"/>
              <w:ind w:left="100" w:right="83"/>
              <w:jc w:val="both"/>
              <w:rPr>
                <w:rFonts w:ascii="Verdana"/>
              </w:rPr>
            </w:pPr>
            <w:proofErr w:type="gramStart"/>
            <w:r>
              <w:rPr>
                <w:b/>
                <w:sz w:val="32"/>
              </w:rPr>
              <w:t xml:space="preserve">Tsunami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z w:val="28"/>
              </w:rPr>
              <w:t xml:space="preserve"> </w:t>
            </w:r>
            <w:r>
              <w:rPr>
                <w:rFonts w:ascii="Verdana"/>
                <w:color w:val="333333"/>
              </w:rPr>
              <w:t>A series of large waves of extremely long wavelength and period</w:t>
            </w:r>
            <w:r>
              <w:rPr>
                <w:rFonts w:ascii="Verdana"/>
                <w:color w:val="333333"/>
                <w:spacing w:val="-75"/>
              </w:rPr>
              <w:t xml:space="preserve"> </w:t>
            </w:r>
            <w:r>
              <w:rPr>
                <w:rFonts w:ascii="Verdana"/>
                <w:color w:val="333333"/>
              </w:rPr>
              <w:t>usually generated by a violent, impulsive undersea disturbance or activity</w:t>
            </w:r>
            <w:r>
              <w:rPr>
                <w:rFonts w:ascii="Verdana"/>
                <w:color w:val="333333"/>
                <w:spacing w:val="1"/>
              </w:rPr>
              <w:t xml:space="preserve"> </w:t>
            </w:r>
            <w:r>
              <w:rPr>
                <w:rFonts w:ascii="Verdana"/>
                <w:color w:val="333333"/>
              </w:rPr>
              <w:t>near</w:t>
            </w:r>
            <w:r>
              <w:rPr>
                <w:rFonts w:ascii="Verdana"/>
                <w:color w:val="333333"/>
                <w:spacing w:val="56"/>
              </w:rPr>
              <w:t xml:space="preserve"> </w:t>
            </w:r>
            <w:r>
              <w:rPr>
                <w:rFonts w:ascii="Verdana"/>
                <w:color w:val="333333"/>
              </w:rPr>
              <w:t>the</w:t>
            </w:r>
            <w:r>
              <w:rPr>
                <w:rFonts w:ascii="Verdana"/>
                <w:color w:val="333333"/>
                <w:spacing w:val="56"/>
              </w:rPr>
              <w:t xml:space="preserve"> </w:t>
            </w:r>
            <w:r>
              <w:rPr>
                <w:rFonts w:ascii="Verdana"/>
                <w:color w:val="333333"/>
              </w:rPr>
              <w:t>coast</w:t>
            </w:r>
            <w:r>
              <w:rPr>
                <w:rFonts w:ascii="Verdana"/>
                <w:color w:val="333333"/>
                <w:spacing w:val="56"/>
              </w:rPr>
              <w:t xml:space="preserve"> </w:t>
            </w:r>
            <w:r>
              <w:rPr>
                <w:rFonts w:ascii="Verdana"/>
                <w:color w:val="333333"/>
              </w:rPr>
              <w:t>or</w:t>
            </w:r>
            <w:r>
              <w:rPr>
                <w:rFonts w:ascii="Verdana"/>
                <w:color w:val="333333"/>
                <w:spacing w:val="56"/>
              </w:rPr>
              <w:t xml:space="preserve"> </w:t>
            </w:r>
            <w:r>
              <w:rPr>
                <w:rFonts w:ascii="Verdana"/>
                <w:color w:val="333333"/>
              </w:rPr>
              <w:t>in</w:t>
            </w:r>
            <w:r>
              <w:rPr>
                <w:rFonts w:ascii="Verdana"/>
                <w:color w:val="333333"/>
                <w:spacing w:val="56"/>
              </w:rPr>
              <w:t xml:space="preserve"> </w:t>
            </w:r>
            <w:r>
              <w:rPr>
                <w:rFonts w:ascii="Verdana"/>
                <w:color w:val="333333"/>
              </w:rPr>
              <w:t>the</w:t>
            </w:r>
            <w:r>
              <w:rPr>
                <w:rFonts w:ascii="Verdana"/>
                <w:color w:val="333333"/>
                <w:spacing w:val="56"/>
              </w:rPr>
              <w:t xml:space="preserve"> </w:t>
            </w:r>
            <w:r>
              <w:rPr>
                <w:rFonts w:ascii="Verdana"/>
                <w:color w:val="333333"/>
              </w:rPr>
              <w:t>ocean.</w:t>
            </w:r>
            <w:r>
              <w:rPr>
                <w:rFonts w:ascii="Verdana"/>
                <w:color w:val="333333"/>
                <w:spacing w:val="56"/>
              </w:rPr>
              <w:t xml:space="preserve"> </w:t>
            </w:r>
            <w:r>
              <w:rPr>
                <w:rFonts w:ascii="Verdana"/>
                <w:color w:val="333333"/>
              </w:rPr>
              <w:t>When</w:t>
            </w:r>
            <w:r>
              <w:rPr>
                <w:rFonts w:ascii="Verdana"/>
                <w:color w:val="333333"/>
                <w:spacing w:val="41"/>
              </w:rPr>
              <w:t xml:space="preserve"> </w:t>
            </w:r>
            <w:r>
              <w:rPr>
                <w:rFonts w:ascii="Verdana"/>
                <w:color w:val="333333"/>
              </w:rPr>
              <w:t>a</w:t>
            </w:r>
            <w:r>
              <w:rPr>
                <w:rFonts w:ascii="Verdana"/>
                <w:color w:val="333333"/>
                <w:spacing w:val="42"/>
              </w:rPr>
              <w:t xml:space="preserve"> </w:t>
            </w:r>
            <w:r>
              <w:rPr>
                <w:rFonts w:ascii="Verdana"/>
                <w:color w:val="333333"/>
              </w:rPr>
              <w:t>sudden</w:t>
            </w:r>
            <w:r>
              <w:rPr>
                <w:rFonts w:ascii="Verdana"/>
                <w:color w:val="333333"/>
                <w:spacing w:val="41"/>
              </w:rPr>
              <w:t xml:space="preserve"> </w:t>
            </w:r>
            <w:r>
              <w:rPr>
                <w:rFonts w:ascii="Verdana"/>
                <w:color w:val="333333"/>
              </w:rPr>
              <w:t>displacement</w:t>
            </w:r>
            <w:r>
              <w:rPr>
                <w:rFonts w:ascii="Verdana"/>
                <w:color w:val="333333"/>
                <w:spacing w:val="42"/>
              </w:rPr>
              <w:t xml:space="preserve"> </w:t>
            </w:r>
            <w:r>
              <w:rPr>
                <w:rFonts w:ascii="Verdana"/>
                <w:color w:val="333333"/>
              </w:rPr>
              <w:t>of</w:t>
            </w:r>
            <w:r>
              <w:rPr>
                <w:rFonts w:ascii="Verdana"/>
                <w:color w:val="333333"/>
                <w:spacing w:val="41"/>
              </w:rPr>
              <w:t xml:space="preserve"> </w:t>
            </w:r>
            <w:r>
              <w:rPr>
                <w:rFonts w:ascii="Verdana"/>
                <w:color w:val="333333"/>
              </w:rPr>
              <w:t>a</w:t>
            </w:r>
            <w:r>
              <w:rPr>
                <w:rFonts w:ascii="Verdana"/>
                <w:color w:val="333333"/>
                <w:spacing w:val="41"/>
              </w:rPr>
              <w:t xml:space="preserve"> </w:t>
            </w:r>
            <w:r>
              <w:rPr>
                <w:rFonts w:ascii="Verdana"/>
                <w:color w:val="333333"/>
              </w:rPr>
              <w:t>large</w:t>
            </w:r>
          </w:p>
          <w:p w:rsidR="00461ED9" w:rsidRDefault="00584798">
            <w:pPr>
              <w:pStyle w:val="TableParagraph"/>
              <w:spacing w:line="260" w:lineRule="atLeast"/>
              <w:ind w:left="100" w:right="90"/>
              <w:jc w:val="both"/>
              <w:rPr>
                <w:rFonts w:ascii="Verdana"/>
              </w:rPr>
            </w:pPr>
            <w:proofErr w:type="gramStart"/>
            <w:r>
              <w:rPr>
                <w:rFonts w:ascii="Verdana"/>
                <w:color w:val="333333"/>
              </w:rPr>
              <w:t>volume</w:t>
            </w:r>
            <w:proofErr w:type="gramEnd"/>
            <w:r>
              <w:rPr>
                <w:rFonts w:ascii="Verdana"/>
                <w:color w:val="333333"/>
                <w:spacing w:val="24"/>
              </w:rPr>
              <w:t xml:space="preserve"> </w:t>
            </w:r>
            <w:r>
              <w:rPr>
                <w:rFonts w:ascii="Verdana"/>
                <w:color w:val="333333"/>
              </w:rPr>
              <w:t>of</w:t>
            </w:r>
            <w:r>
              <w:rPr>
                <w:rFonts w:ascii="Verdana"/>
                <w:color w:val="333333"/>
                <w:spacing w:val="25"/>
              </w:rPr>
              <w:t xml:space="preserve"> </w:t>
            </w:r>
            <w:r>
              <w:rPr>
                <w:rFonts w:ascii="Verdana"/>
                <w:color w:val="333333"/>
              </w:rPr>
              <w:t>water</w:t>
            </w:r>
            <w:r>
              <w:rPr>
                <w:rFonts w:ascii="Verdana"/>
                <w:color w:val="333333"/>
                <w:spacing w:val="24"/>
              </w:rPr>
              <w:t xml:space="preserve"> </w:t>
            </w:r>
            <w:r>
              <w:rPr>
                <w:rFonts w:ascii="Verdana"/>
                <w:color w:val="333333"/>
              </w:rPr>
              <w:t>occurs,</w:t>
            </w:r>
            <w:r>
              <w:rPr>
                <w:rFonts w:ascii="Verdana"/>
                <w:color w:val="333333"/>
                <w:spacing w:val="25"/>
              </w:rPr>
              <w:t xml:space="preserve"> </w:t>
            </w:r>
            <w:r>
              <w:rPr>
                <w:rFonts w:ascii="Verdana"/>
                <w:color w:val="333333"/>
              </w:rPr>
              <w:t>or</w:t>
            </w:r>
            <w:r>
              <w:rPr>
                <w:rFonts w:ascii="Verdana"/>
                <w:color w:val="333333"/>
                <w:spacing w:val="25"/>
              </w:rPr>
              <w:t xml:space="preserve"> </w:t>
            </w:r>
            <w:r>
              <w:rPr>
                <w:rFonts w:ascii="Verdana"/>
                <w:color w:val="333333"/>
              </w:rPr>
              <w:t>if</w:t>
            </w:r>
            <w:r>
              <w:rPr>
                <w:rFonts w:ascii="Verdana"/>
                <w:color w:val="333333"/>
                <w:spacing w:val="24"/>
              </w:rPr>
              <w:t xml:space="preserve"> </w:t>
            </w:r>
            <w:r>
              <w:rPr>
                <w:rFonts w:ascii="Verdana"/>
                <w:color w:val="333333"/>
              </w:rPr>
              <w:t>the</w:t>
            </w:r>
            <w:r>
              <w:rPr>
                <w:rFonts w:ascii="Verdana"/>
                <w:color w:val="333333"/>
                <w:spacing w:val="25"/>
              </w:rPr>
              <w:t xml:space="preserve"> </w:t>
            </w:r>
            <w:r>
              <w:rPr>
                <w:rFonts w:ascii="Verdana"/>
                <w:color w:val="333333"/>
              </w:rPr>
              <w:t>seafloor</w:t>
            </w:r>
            <w:r>
              <w:rPr>
                <w:rFonts w:ascii="Verdana"/>
                <w:color w:val="333333"/>
                <w:spacing w:val="10"/>
              </w:rPr>
              <w:t xml:space="preserve"> </w:t>
            </w:r>
            <w:r>
              <w:rPr>
                <w:rFonts w:ascii="Verdana"/>
                <w:color w:val="333333"/>
              </w:rPr>
              <w:t>is</w:t>
            </w:r>
            <w:r>
              <w:rPr>
                <w:rFonts w:ascii="Verdana"/>
                <w:color w:val="333333"/>
                <w:spacing w:val="11"/>
              </w:rPr>
              <w:t xml:space="preserve"> </w:t>
            </w:r>
            <w:r>
              <w:rPr>
                <w:rFonts w:ascii="Verdana"/>
                <w:color w:val="333333"/>
              </w:rPr>
              <w:t>suddenly</w:t>
            </w:r>
            <w:r>
              <w:rPr>
                <w:rFonts w:ascii="Verdana"/>
                <w:color w:val="333333"/>
                <w:spacing w:val="10"/>
              </w:rPr>
              <w:t xml:space="preserve"> </w:t>
            </w:r>
            <w:r>
              <w:rPr>
                <w:rFonts w:ascii="Verdana"/>
                <w:color w:val="333333"/>
              </w:rPr>
              <w:t>raised</w:t>
            </w:r>
            <w:r>
              <w:rPr>
                <w:rFonts w:ascii="Verdana"/>
                <w:color w:val="333333"/>
                <w:spacing w:val="10"/>
              </w:rPr>
              <w:t xml:space="preserve"> </w:t>
            </w:r>
            <w:r>
              <w:rPr>
                <w:rFonts w:ascii="Verdana"/>
                <w:color w:val="333333"/>
              </w:rPr>
              <w:t>or</w:t>
            </w:r>
            <w:r>
              <w:rPr>
                <w:rFonts w:ascii="Verdana"/>
                <w:color w:val="333333"/>
                <w:spacing w:val="11"/>
              </w:rPr>
              <w:t xml:space="preserve"> </w:t>
            </w:r>
            <w:r>
              <w:rPr>
                <w:rFonts w:ascii="Verdana"/>
                <w:color w:val="333333"/>
              </w:rPr>
              <w:t>dropped</w:t>
            </w:r>
            <w:r>
              <w:rPr>
                <w:rFonts w:ascii="Verdana"/>
                <w:color w:val="333333"/>
                <w:spacing w:val="10"/>
              </w:rPr>
              <w:t xml:space="preserve"> </w:t>
            </w:r>
            <w:r>
              <w:rPr>
                <w:rFonts w:ascii="Verdana"/>
                <w:color w:val="333333"/>
              </w:rPr>
              <w:t>by</w:t>
            </w:r>
            <w:r>
              <w:rPr>
                <w:rFonts w:ascii="Verdana"/>
                <w:color w:val="333333"/>
                <w:spacing w:val="-75"/>
              </w:rPr>
              <w:t xml:space="preserve"> </w:t>
            </w:r>
            <w:r>
              <w:rPr>
                <w:rFonts w:ascii="Verdana"/>
                <w:color w:val="333333"/>
              </w:rPr>
              <w:t>an</w:t>
            </w:r>
            <w:r>
              <w:rPr>
                <w:rFonts w:ascii="Verdana"/>
                <w:color w:val="333333"/>
                <w:spacing w:val="-2"/>
              </w:rPr>
              <w:t xml:space="preserve"> </w:t>
            </w:r>
            <w:r>
              <w:rPr>
                <w:rFonts w:ascii="Verdana"/>
                <w:color w:val="333333"/>
              </w:rPr>
              <w:t>earthquake,</w:t>
            </w:r>
            <w:r>
              <w:rPr>
                <w:rFonts w:ascii="Verdana"/>
                <w:color w:val="333333"/>
                <w:spacing w:val="-2"/>
              </w:rPr>
              <w:t xml:space="preserve"> </w:t>
            </w:r>
            <w:r>
              <w:rPr>
                <w:rFonts w:ascii="Verdana"/>
                <w:color w:val="333333"/>
              </w:rPr>
              <w:t>big</w:t>
            </w:r>
            <w:r>
              <w:rPr>
                <w:rFonts w:ascii="Verdana"/>
                <w:color w:val="333333"/>
                <w:spacing w:val="-2"/>
              </w:rPr>
              <w:t xml:space="preserve"> </w:t>
            </w:r>
            <w:r>
              <w:rPr>
                <w:rFonts w:ascii="Verdana"/>
                <w:color w:val="333333"/>
              </w:rPr>
              <w:t>tsunami</w:t>
            </w:r>
            <w:r>
              <w:rPr>
                <w:rFonts w:ascii="Verdana"/>
                <w:color w:val="333333"/>
                <w:spacing w:val="-2"/>
              </w:rPr>
              <w:t xml:space="preserve"> </w:t>
            </w:r>
            <w:r>
              <w:rPr>
                <w:rFonts w:ascii="Verdana"/>
                <w:color w:val="333333"/>
              </w:rPr>
              <w:t>waves</w:t>
            </w:r>
            <w:r>
              <w:rPr>
                <w:rFonts w:ascii="Verdana"/>
                <w:color w:val="333333"/>
                <w:spacing w:val="-2"/>
              </w:rPr>
              <w:t xml:space="preserve"> </w:t>
            </w:r>
            <w:r>
              <w:rPr>
                <w:rFonts w:ascii="Verdana"/>
                <w:color w:val="333333"/>
              </w:rPr>
              <w:t>can</w:t>
            </w:r>
            <w:r>
              <w:rPr>
                <w:rFonts w:ascii="Verdana"/>
                <w:color w:val="333333"/>
                <w:spacing w:val="-2"/>
              </w:rPr>
              <w:t xml:space="preserve"> </w:t>
            </w:r>
            <w:r>
              <w:rPr>
                <w:rFonts w:ascii="Verdana"/>
                <w:color w:val="333333"/>
              </w:rPr>
              <w:t>be</w:t>
            </w:r>
            <w:r>
              <w:rPr>
                <w:rFonts w:ascii="Verdana"/>
                <w:color w:val="333333"/>
                <w:spacing w:val="-1"/>
              </w:rPr>
              <w:t xml:space="preserve"> </w:t>
            </w:r>
            <w:r>
              <w:rPr>
                <w:rFonts w:ascii="Verdana"/>
                <w:color w:val="333333"/>
              </w:rPr>
              <w:t>formed.</w:t>
            </w:r>
          </w:p>
        </w:tc>
      </w:tr>
      <w:tr w:rsidR="00461ED9">
        <w:trPr>
          <w:trHeight w:val="1553"/>
        </w:trPr>
        <w:tc>
          <w:tcPr>
            <w:tcW w:w="920" w:type="dxa"/>
          </w:tcPr>
          <w:p w:rsidR="00461ED9" w:rsidRDefault="00584798">
            <w:pPr>
              <w:pStyle w:val="TableParagraph"/>
              <w:spacing w:line="283" w:lineRule="exact"/>
              <w:ind w:left="105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8780" w:type="dxa"/>
          </w:tcPr>
          <w:p w:rsidR="00461ED9" w:rsidRDefault="00584798">
            <w:pPr>
              <w:pStyle w:val="TableParagraph"/>
              <w:spacing w:line="237" w:lineRule="auto"/>
              <w:ind w:left="100" w:right="90"/>
              <w:jc w:val="both"/>
              <w:rPr>
                <w:rFonts w:ascii="Georgia" w:hAnsi="Georgia"/>
                <w:sz w:val="26"/>
              </w:rPr>
            </w:pPr>
            <w:proofErr w:type="gramStart"/>
            <w:r>
              <w:rPr>
                <w:b/>
                <w:sz w:val="32"/>
              </w:rPr>
              <w:t xml:space="preserve">Earthquake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z w:val="28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Any sudden shaking of the ground caused by the passage of</w:t>
            </w:r>
            <w:r>
              <w:rPr>
                <w:rFonts w:ascii="Georgia" w:hAnsi="Georgia"/>
                <w:color w:val="1A1A1A"/>
                <w:spacing w:val="-60"/>
                <w:sz w:val="26"/>
              </w:rPr>
              <w:t xml:space="preserve"> </w:t>
            </w:r>
            <w:hyperlink r:id="rId4">
              <w:r>
                <w:rPr>
                  <w:rFonts w:ascii="Georgia" w:hAnsi="Georgia"/>
                  <w:sz w:val="26"/>
                </w:rPr>
                <w:t>seismic</w:t>
              </w:r>
              <w:r>
                <w:rPr>
                  <w:rFonts w:ascii="Georgia" w:hAnsi="Georgia"/>
                  <w:spacing w:val="1"/>
                  <w:sz w:val="26"/>
                </w:rPr>
                <w:t xml:space="preserve"> </w:t>
              </w:r>
              <w:r>
                <w:rPr>
                  <w:rFonts w:ascii="Georgia" w:hAnsi="Georgia"/>
                  <w:sz w:val="26"/>
                </w:rPr>
                <w:t>waves</w:t>
              </w:r>
            </w:hyperlink>
            <w:r>
              <w:rPr>
                <w:rFonts w:ascii="Georgia" w:hAnsi="Georgia"/>
                <w:spacing w:val="1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through</w:t>
            </w:r>
            <w:r>
              <w:rPr>
                <w:rFonts w:ascii="Georgia" w:hAnsi="Georgia"/>
                <w:color w:val="1A1A1A"/>
                <w:spacing w:val="1"/>
                <w:sz w:val="26"/>
              </w:rPr>
              <w:t xml:space="preserve"> </w:t>
            </w:r>
            <w:hyperlink r:id="rId5">
              <w:r>
                <w:rPr>
                  <w:rFonts w:ascii="Georgia" w:hAnsi="Georgia"/>
                  <w:sz w:val="26"/>
                </w:rPr>
                <w:t>Earth</w:t>
              </w:r>
            </w:hyperlink>
            <w:r>
              <w:rPr>
                <w:rFonts w:ascii="Georgia" w:hAnsi="Georgia"/>
                <w:sz w:val="26"/>
              </w:rPr>
              <w:t>’</w:t>
            </w:r>
            <w:r>
              <w:rPr>
                <w:rFonts w:ascii="Georgia" w:hAnsi="Georgia"/>
                <w:color w:val="1A1A1A"/>
                <w:sz w:val="26"/>
              </w:rPr>
              <w:t>s rocks. Seismic waves are produced when</w:t>
            </w:r>
            <w:r>
              <w:rPr>
                <w:rFonts w:ascii="Georgia" w:hAnsi="Georgia"/>
                <w:color w:val="1A1A1A"/>
                <w:spacing w:val="1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some</w:t>
            </w:r>
            <w:r>
              <w:rPr>
                <w:rFonts w:ascii="Georgia" w:hAnsi="Georgia"/>
                <w:color w:val="1A1A1A"/>
                <w:spacing w:val="24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form</w:t>
            </w:r>
            <w:r>
              <w:rPr>
                <w:rFonts w:ascii="Georgia" w:hAnsi="Georgia"/>
                <w:color w:val="1A1A1A"/>
                <w:spacing w:val="25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of</w:t>
            </w:r>
            <w:r>
              <w:rPr>
                <w:rFonts w:ascii="Georgia" w:hAnsi="Georgia"/>
                <w:color w:val="1A1A1A"/>
                <w:spacing w:val="24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energy</w:t>
            </w:r>
            <w:r>
              <w:rPr>
                <w:rFonts w:ascii="Georgia" w:hAnsi="Georgia"/>
                <w:color w:val="1A1A1A"/>
                <w:spacing w:val="25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stored</w:t>
            </w:r>
            <w:r>
              <w:rPr>
                <w:rFonts w:ascii="Georgia" w:hAnsi="Georgia"/>
                <w:color w:val="1A1A1A"/>
                <w:spacing w:val="24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in</w:t>
            </w:r>
            <w:r>
              <w:rPr>
                <w:rFonts w:ascii="Georgia" w:hAnsi="Georgia"/>
                <w:color w:val="1A1A1A"/>
                <w:spacing w:val="25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Earth’s</w:t>
            </w:r>
            <w:r>
              <w:rPr>
                <w:rFonts w:ascii="Georgia" w:hAnsi="Georgia"/>
                <w:color w:val="1A1A1A"/>
                <w:spacing w:val="24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crust</w:t>
            </w:r>
            <w:r>
              <w:rPr>
                <w:rFonts w:ascii="Georgia" w:hAnsi="Georgia"/>
                <w:color w:val="1A1A1A"/>
                <w:spacing w:val="25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is</w:t>
            </w:r>
            <w:r>
              <w:rPr>
                <w:rFonts w:ascii="Georgia" w:hAnsi="Georgia"/>
                <w:color w:val="1A1A1A"/>
                <w:spacing w:val="10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suddenly</w:t>
            </w:r>
            <w:r>
              <w:rPr>
                <w:rFonts w:ascii="Georgia" w:hAnsi="Georgia"/>
                <w:color w:val="1A1A1A"/>
                <w:spacing w:val="10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released,</w:t>
            </w:r>
            <w:r>
              <w:rPr>
                <w:rFonts w:ascii="Georgia" w:hAnsi="Georgia"/>
                <w:color w:val="1A1A1A"/>
                <w:spacing w:val="11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usually</w:t>
            </w:r>
          </w:p>
          <w:p w:rsidR="00461ED9" w:rsidRDefault="00584798">
            <w:pPr>
              <w:pStyle w:val="TableParagraph"/>
              <w:spacing w:line="290" w:lineRule="atLeast"/>
              <w:ind w:left="100" w:right="91"/>
              <w:jc w:val="both"/>
              <w:rPr>
                <w:rFonts w:ascii="Georgia" w:hAnsi="Georgia"/>
                <w:sz w:val="26"/>
              </w:rPr>
            </w:pPr>
            <w:proofErr w:type="gramStart"/>
            <w:r>
              <w:rPr>
                <w:rFonts w:ascii="Georgia" w:hAnsi="Georgia"/>
                <w:color w:val="1A1A1A"/>
                <w:sz w:val="26"/>
              </w:rPr>
              <w:t>when</w:t>
            </w:r>
            <w:proofErr w:type="gramEnd"/>
            <w:r>
              <w:rPr>
                <w:rFonts w:ascii="Georgia" w:hAnsi="Georgia"/>
                <w:color w:val="1A1A1A"/>
                <w:sz w:val="26"/>
              </w:rPr>
              <w:t xml:space="preserve"> masses of rock straining against one another suddenly fracture and</w:t>
            </w:r>
            <w:r>
              <w:rPr>
                <w:rFonts w:ascii="Georgia" w:hAnsi="Georgia"/>
                <w:color w:val="1A1A1A"/>
                <w:spacing w:val="1"/>
                <w:sz w:val="26"/>
              </w:rPr>
              <w:t xml:space="preserve"> </w:t>
            </w:r>
            <w:r>
              <w:rPr>
                <w:rFonts w:ascii="Georgia" w:hAnsi="Georgia"/>
                <w:color w:val="1A1A1A"/>
                <w:sz w:val="26"/>
              </w:rPr>
              <w:t>“slip.”</w:t>
            </w:r>
          </w:p>
        </w:tc>
      </w:tr>
      <w:tr w:rsidR="00461ED9">
        <w:trPr>
          <w:trHeight w:val="1001"/>
        </w:trPr>
        <w:tc>
          <w:tcPr>
            <w:tcW w:w="920" w:type="dxa"/>
          </w:tcPr>
          <w:p w:rsidR="00461ED9" w:rsidRDefault="00584798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8780" w:type="dxa"/>
          </w:tcPr>
          <w:p w:rsidR="00461ED9" w:rsidRDefault="00584798">
            <w:pPr>
              <w:pStyle w:val="TableParagraph"/>
              <w:spacing w:before="25" w:line="332" w:lineRule="exact"/>
              <w:ind w:left="100"/>
              <w:rPr>
                <w:sz w:val="26"/>
              </w:rPr>
            </w:pPr>
            <w:r>
              <w:rPr>
                <w:b/>
                <w:sz w:val="32"/>
              </w:rPr>
              <w:t>Droughts:</w:t>
            </w:r>
            <w:r>
              <w:rPr>
                <w:b/>
                <w:spacing w:val="39"/>
                <w:sz w:val="32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primary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z w:val="26"/>
              </w:rPr>
              <w:t>cause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drought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efficiency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rainfall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particular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timing,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distribution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intensity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deficiency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relation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461ED9" w:rsidRDefault="00584798">
            <w:pPr>
              <w:pStyle w:val="TableParagraph"/>
              <w:spacing w:before="4" w:line="287" w:lineRule="exact"/>
              <w:ind w:left="100"/>
              <w:rPr>
                <w:sz w:val="26"/>
              </w:rPr>
            </w:pPr>
            <w:proofErr w:type="gramStart"/>
            <w:r>
              <w:rPr>
                <w:sz w:val="26"/>
              </w:rPr>
              <w:t>existing</w:t>
            </w:r>
            <w:proofErr w:type="gramEnd"/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reserves.</w:t>
            </w:r>
          </w:p>
        </w:tc>
      </w:tr>
      <w:tr w:rsidR="00461ED9">
        <w:trPr>
          <w:trHeight w:val="1009"/>
        </w:trPr>
        <w:tc>
          <w:tcPr>
            <w:tcW w:w="920" w:type="dxa"/>
          </w:tcPr>
          <w:p w:rsidR="00461ED9" w:rsidRDefault="00584798">
            <w:pPr>
              <w:pStyle w:val="TableParagraph"/>
              <w:spacing w:line="288" w:lineRule="exact"/>
              <w:ind w:left="105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8780" w:type="dxa"/>
          </w:tcPr>
          <w:p w:rsidR="00461ED9" w:rsidRDefault="00584798">
            <w:pPr>
              <w:pStyle w:val="TableParagraph"/>
              <w:ind w:left="100"/>
              <w:rPr>
                <w:sz w:val="26"/>
              </w:rPr>
            </w:pPr>
            <w:r>
              <w:rPr>
                <w:b/>
                <w:sz w:val="32"/>
              </w:rPr>
              <w:t xml:space="preserve">Tropical cyclones: </w:t>
            </w:r>
            <w:r>
              <w:rPr>
                <w:sz w:val="26"/>
              </w:rPr>
              <w:t>The major natural disaster that affects the coastal regions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India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cyclone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coastline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7516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kilometres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exposed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461ED9" w:rsidRDefault="00584798">
            <w:pPr>
              <w:pStyle w:val="TableParagraph"/>
              <w:spacing w:line="286" w:lineRule="exact"/>
              <w:ind w:left="100"/>
              <w:rPr>
                <w:sz w:val="26"/>
              </w:rPr>
            </w:pPr>
            <w:proofErr w:type="gramStart"/>
            <w:r>
              <w:rPr>
                <w:sz w:val="26"/>
              </w:rPr>
              <w:t>nearly</w:t>
            </w:r>
            <w:proofErr w:type="gramEnd"/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10%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worlds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tropical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cyclones.</w:t>
            </w:r>
          </w:p>
        </w:tc>
      </w:tr>
      <w:tr w:rsidR="00461ED9">
        <w:trPr>
          <w:trHeight w:val="1630"/>
        </w:trPr>
        <w:tc>
          <w:tcPr>
            <w:tcW w:w="920" w:type="dxa"/>
          </w:tcPr>
          <w:p w:rsidR="00461ED9" w:rsidRDefault="00584798">
            <w:pPr>
              <w:pStyle w:val="TableParagraph"/>
              <w:spacing w:line="288" w:lineRule="exact"/>
              <w:ind w:left="105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8780" w:type="dxa"/>
          </w:tcPr>
          <w:p w:rsidR="00461ED9" w:rsidRDefault="00584798">
            <w:pPr>
              <w:pStyle w:val="TableParagraph"/>
              <w:ind w:left="100" w:right="84"/>
              <w:jc w:val="both"/>
              <w:rPr>
                <w:sz w:val="26"/>
              </w:rPr>
            </w:pPr>
            <w:r>
              <w:rPr>
                <w:b/>
                <w:sz w:val="32"/>
              </w:rPr>
              <w:t xml:space="preserve">Landslides: </w:t>
            </w:r>
            <w:r>
              <w:rPr>
                <w:sz w:val="26"/>
              </w:rPr>
              <w:t>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mainly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affects the Himalayan region and the western </w:t>
            </w:r>
            <w:proofErr w:type="spellStart"/>
            <w:r>
              <w:rPr>
                <w:sz w:val="26"/>
              </w:rPr>
              <w:t>ghats</w:t>
            </w:r>
            <w:proofErr w:type="spellEnd"/>
            <w:r>
              <w:rPr>
                <w:sz w:val="26"/>
              </w:rPr>
              <w:t xml:space="preserve">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India. Landslides are also common in the </w:t>
            </w:r>
            <w:proofErr w:type="spellStart"/>
            <w:r>
              <w:rPr>
                <w:sz w:val="26"/>
              </w:rPr>
              <w:t>nilgiri</w:t>
            </w:r>
            <w:proofErr w:type="spellEnd"/>
            <w:r>
              <w:rPr>
                <w:sz w:val="26"/>
              </w:rPr>
              <w:t xml:space="preserve"> range. It is estimated that 30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percent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world’s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landslides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occur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Himalayas.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Himalayan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mountains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constitute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youngest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most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dominating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mountain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  <w:p w:rsidR="00461ED9" w:rsidRDefault="00584798">
            <w:pPr>
              <w:pStyle w:val="TableParagraph"/>
              <w:spacing w:line="270" w:lineRule="exact"/>
              <w:ind w:left="100"/>
              <w:jc w:val="both"/>
              <w:rPr>
                <w:sz w:val="26"/>
              </w:rPr>
            </w:pPr>
            <w:proofErr w:type="gramStart"/>
            <w:r>
              <w:rPr>
                <w:sz w:val="26"/>
              </w:rPr>
              <w:t>in</w:t>
            </w:r>
            <w:proofErr w:type="gram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world.</w:t>
            </w:r>
          </w:p>
        </w:tc>
      </w:tr>
    </w:tbl>
    <w:p w:rsidR="00461ED9" w:rsidRDefault="00461ED9">
      <w:pPr>
        <w:spacing w:line="270" w:lineRule="exact"/>
        <w:jc w:val="both"/>
        <w:rPr>
          <w:sz w:val="26"/>
        </w:rPr>
        <w:sectPr w:rsidR="00461ED9">
          <w:type w:val="continuous"/>
          <w:pgSz w:w="11920" w:h="16840"/>
          <w:pgMar w:top="1440" w:right="540" w:bottom="280" w:left="900" w:header="720" w:footer="720" w:gutter="0"/>
          <w:cols w:space="720"/>
        </w:sectPr>
      </w:pPr>
    </w:p>
    <w:tbl>
      <w:tblPr>
        <w:tblW w:w="0" w:type="auto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8780"/>
      </w:tblGrid>
      <w:tr w:rsidR="00461ED9">
        <w:trPr>
          <w:trHeight w:val="1270"/>
        </w:trPr>
        <w:tc>
          <w:tcPr>
            <w:tcW w:w="920" w:type="dxa"/>
          </w:tcPr>
          <w:p w:rsidR="00461ED9" w:rsidRDefault="00584798">
            <w:pPr>
              <w:pStyle w:val="TableParagraph"/>
              <w:spacing w:line="287" w:lineRule="exact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FR-6</w:t>
            </w:r>
          </w:p>
        </w:tc>
        <w:tc>
          <w:tcPr>
            <w:tcW w:w="8780" w:type="dxa"/>
          </w:tcPr>
          <w:p w:rsidR="00461ED9" w:rsidRDefault="00584798">
            <w:pPr>
              <w:pStyle w:val="TableParagraph"/>
              <w:spacing w:before="2" w:line="235" w:lineRule="auto"/>
              <w:ind w:left="100"/>
              <w:rPr>
                <w:rFonts w:ascii="Arial MT"/>
                <w:sz w:val="26"/>
              </w:rPr>
            </w:pPr>
            <w:r>
              <w:rPr>
                <w:b/>
                <w:sz w:val="32"/>
              </w:rPr>
              <w:t>Volcanoes: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A</w:t>
            </w:r>
            <w:r>
              <w:rPr>
                <w:rFonts w:ascii="Arial MT"/>
                <w:color w:val="202024"/>
                <w:spacing w:val="1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volcano</w:t>
            </w:r>
            <w:r>
              <w:rPr>
                <w:rFonts w:ascii="Arial MT"/>
                <w:color w:val="202024"/>
                <w:spacing w:val="1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is</w:t>
            </w:r>
            <w:r>
              <w:rPr>
                <w:rFonts w:ascii="Arial MT"/>
                <w:color w:val="202024"/>
                <w:spacing w:val="1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an</w:t>
            </w:r>
            <w:r>
              <w:rPr>
                <w:rFonts w:ascii="Arial MT"/>
                <w:color w:val="202024"/>
                <w:spacing w:val="1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opening in the earth's crust through which</w:t>
            </w:r>
            <w:r>
              <w:rPr>
                <w:rFonts w:ascii="Arial MT"/>
                <w:color w:val="202024"/>
                <w:spacing w:val="-70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lava,</w:t>
            </w:r>
            <w:r>
              <w:rPr>
                <w:rFonts w:ascii="Arial MT"/>
                <w:color w:val="202024"/>
                <w:spacing w:val="7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volcanic</w:t>
            </w:r>
            <w:r>
              <w:rPr>
                <w:rFonts w:ascii="Arial MT"/>
                <w:color w:val="202024"/>
                <w:spacing w:val="7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ash,</w:t>
            </w:r>
            <w:r>
              <w:rPr>
                <w:rFonts w:ascii="Arial MT"/>
                <w:color w:val="202024"/>
                <w:spacing w:val="7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and</w:t>
            </w:r>
            <w:r>
              <w:rPr>
                <w:rFonts w:ascii="Arial MT"/>
                <w:color w:val="202024"/>
                <w:spacing w:val="7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gases</w:t>
            </w:r>
            <w:r>
              <w:rPr>
                <w:rFonts w:ascii="Arial MT"/>
                <w:color w:val="202024"/>
                <w:spacing w:val="-7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escape.</w:t>
            </w:r>
            <w:r>
              <w:rPr>
                <w:rFonts w:ascii="Arial MT"/>
                <w:color w:val="202024"/>
                <w:spacing w:val="-6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Volcanic</w:t>
            </w:r>
            <w:r>
              <w:rPr>
                <w:rFonts w:ascii="Arial MT"/>
                <w:color w:val="202024"/>
                <w:spacing w:val="-7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eruptions</w:t>
            </w:r>
            <w:r>
              <w:rPr>
                <w:rFonts w:ascii="Arial MT"/>
                <w:color w:val="202024"/>
                <w:spacing w:val="-7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are</w:t>
            </w:r>
            <w:r>
              <w:rPr>
                <w:rFonts w:ascii="Arial MT"/>
                <w:color w:val="202024"/>
                <w:spacing w:val="-6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partly</w:t>
            </w:r>
            <w:r>
              <w:rPr>
                <w:rFonts w:ascii="Arial MT"/>
                <w:color w:val="202024"/>
                <w:spacing w:val="-7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driven</w:t>
            </w:r>
          </w:p>
          <w:p w:rsidR="00461ED9" w:rsidRDefault="00584798">
            <w:pPr>
              <w:pStyle w:val="TableParagraph"/>
              <w:spacing w:line="300" w:lineRule="atLeast"/>
              <w:ind w:left="100"/>
              <w:rPr>
                <w:rFonts w:ascii="Arial MT"/>
                <w:sz w:val="26"/>
              </w:rPr>
            </w:pPr>
            <w:proofErr w:type="gramStart"/>
            <w:r>
              <w:rPr>
                <w:rFonts w:ascii="Arial MT"/>
                <w:color w:val="202024"/>
                <w:sz w:val="26"/>
              </w:rPr>
              <w:t>by</w:t>
            </w:r>
            <w:proofErr w:type="gramEnd"/>
            <w:r>
              <w:rPr>
                <w:rFonts w:ascii="Arial MT"/>
                <w:color w:val="202024"/>
                <w:spacing w:val="24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pressure</w:t>
            </w:r>
            <w:r>
              <w:rPr>
                <w:rFonts w:ascii="Arial MT"/>
                <w:color w:val="202024"/>
                <w:spacing w:val="25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from</w:t>
            </w:r>
            <w:r>
              <w:rPr>
                <w:rFonts w:ascii="Arial MT"/>
                <w:color w:val="202024"/>
                <w:spacing w:val="25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dissolved</w:t>
            </w:r>
            <w:r>
              <w:rPr>
                <w:rFonts w:ascii="Arial MT"/>
                <w:color w:val="202024"/>
                <w:spacing w:val="25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gas,</w:t>
            </w:r>
            <w:r>
              <w:rPr>
                <w:rFonts w:ascii="Arial MT"/>
                <w:color w:val="202024"/>
                <w:spacing w:val="25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much</w:t>
            </w:r>
            <w:r>
              <w:rPr>
                <w:rFonts w:ascii="Arial MT"/>
                <w:color w:val="202024"/>
                <w:spacing w:val="25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as</w:t>
            </w:r>
            <w:r>
              <w:rPr>
                <w:rFonts w:ascii="Arial MT"/>
                <w:color w:val="202024"/>
                <w:spacing w:val="25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escaping</w:t>
            </w:r>
            <w:r>
              <w:rPr>
                <w:rFonts w:ascii="Arial MT"/>
                <w:color w:val="202024"/>
                <w:spacing w:val="25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gases</w:t>
            </w:r>
            <w:r>
              <w:rPr>
                <w:rFonts w:ascii="Arial MT"/>
                <w:color w:val="202024"/>
                <w:spacing w:val="25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force</w:t>
            </w:r>
            <w:r>
              <w:rPr>
                <w:rFonts w:ascii="Arial MT"/>
                <w:color w:val="202024"/>
                <w:spacing w:val="25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the</w:t>
            </w:r>
            <w:r>
              <w:rPr>
                <w:rFonts w:ascii="Arial MT"/>
                <w:color w:val="202024"/>
                <w:spacing w:val="11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cork</w:t>
            </w:r>
            <w:r>
              <w:rPr>
                <w:rFonts w:ascii="Arial MT"/>
                <w:color w:val="202024"/>
                <w:spacing w:val="-69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out</w:t>
            </w:r>
            <w:r>
              <w:rPr>
                <w:rFonts w:ascii="Arial MT"/>
                <w:color w:val="202024"/>
                <w:spacing w:val="-2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of</w:t>
            </w:r>
            <w:r>
              <w:rPr>
                <w:rFonts w:ascii="Arial MT"/>
                <w:color w:val="202024"/>
                <w:spacing w:val="-1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a</w:t>
            </w:r>
            <w:r>
              <w:rPr>
                <w:rFonts w:ascii="Arial MT"/>
                <w:color w:val="202024"/>
                <w:spacing w:val="-1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bottle</w:t>
            </w:r>
            <w:r>
              <w:rPr>
                <w:rFonts w:ascii="Arial MT"/>
                <w:color w:val="202024"/>
                <w:spacing w:val="-1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of</w:t>
            </w:r>
            <w:r>
              <w:rPr>
                <w:rFonts w:ascii="Arial MT"/>
                <w:color w:val="202024"/>
                <w:spacing w:val="-2"/>
                <w:sz w:val="26"/>
              </w:rPr>
              <w:t xml:space="preserve"> </w:t>
            </w:r>
            <w:r>
              <w:rPr>
                <w:rFonts w:ascii="Arial MT"/>
                <w:color w:val="202024"/>
                <w:sz w:val="26"/>
              </w:rPr>
              <w:t>champagne.</w:t>
            </w:r>
          </w:p>
        </w:tc>
      </w:tr>
    </w:tbl>
    <w:p w:rsidR="00461ED9" w:rsidRDefault="00461ED9">
      <w:pPr>
        <w:pStyle w:val="BodyText"/>
        <w:rPr>
          <w:sz w:val="20"/>
        </w:rPr>
      </w:pPr>
    </w:p>
    <w:p w:rsidR="00461ED9" w:rsidRDefault="00461ED9">
      <w:pPr>
        <w:pStyle w:val="BodyText"/>
        <w:rPr>
          <w:sz w:val="20"/>
        </w:rPr>
      </w:pPr>
    </w:p>
    <w:p w:rsidR="00461ED9" w:rsidRDefault="00461ED9">
      <w:pPr>
        <w:pStyle w:val="BodyText"/>
        <w:rPr>
          <w:sz w:val="20"/>
        </w:rPr>
      </w:pPr>
    </w:p>
    <w:p w:rsidR="00461ED9" w:rsidRDefault="00461ED9">
      <w:pPr>
        <w:pStyle w:val="BodyText"/>
        <w:rPr>
          <w:sz w:val="20"/>
        </w:rPr>
      </w:pPr>
    </w:p>
    <w:p w:rsidR="00461ED9" w:rsidRDefault="00461ED9">
      <w:pPr>
        <w:pStyle w:val="BodyText"/>
        <w:spacing w:before="3"/>
        <w:rPr>
          <w:sz w:val="28"/>
        </w:rPr>
      </w:pPr>
    </w:p>
    <w:p w:rsidR="00461ED9" w:rsidRDefault="00584798">
      <w:pPr>
        <w:spacing w:before="32"/>
        <w:ind w:left="540"/>
        <w:rPr>
          <w:b/>
          <w:sz w:val="34"/>
        </w:rPr>
      </w:pPr>
      <w:r>
        <w:rPr>
          <w:b/>
          <w:sz w:val="34"/>
        </w:rPr>
        <w:t>Non-functional</w:t>
      </w:r>
      <w:r>
        <w:rPr>
          <w:b/>
          <w:spacing w:val="-17"/>
          <w:sz w:val="34"/>
        </w:rPr>
        <w:t xml:space="preserve"> </w:t>
      </w:r>
      <w:r>
        <w:rPr>
          <w:b/>
          <w:sz w:val="34"/>
        </w:rPr>
        <w:t>Requirements:</w:t>
      </w:r>
    </w:p>
    <w:p w:rsidR="00461ED9" w:rsidRDefault="00584798">
      <w:pPr>
        <w:pStyle w:val="BodyText"/>
        <w:spacing w:before="191"/>
        <w:ind w:left="5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461ED9" w:rsidRDefault="00461ED9">
      <w:pPr>
        <w:pStyle w:val="BodyText"/>
        <w:rPr>
          <w:sz w:val="20"/>
        </w:rPr>
      </w:pPr>
    </w:p>
    <w:p w:rsidR="00461ED9" w:rsidRDefault="00461ED9">
      <w:pPr>
        <w:pStyle w:val="BodyText"/>
        <w:rPr>
          <w:sz w:val="20"/>
        </w:rPr>
      </w:pPr>
    </w:p>
    <w:p w:rsidR="00461ED9" w:rsidRDefault="00461ED9">
      <w:pPr>
        <w:pStyle w:val="BodyText"/>
        <w:spacing w:before="4"/>
        <w:rPr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4100"/>
        <w:gridCol w:w="4820"/>
      </w:tblGrid>
      <w:tr w:rsidR="00461ED9">
        <w:trPr>
          <w:trHeight w:val="790"/>
        </w:trPr>
        <w:tc>
          <w:tcPr>
            <w:tcW w:w="1300" w:type="dxa"/>
          </w:tcPr>
          <w:p w:rsidR="00461ED9" w:rsidRDefault="00584798">
            <w:pPr>
              <w:pStyle w:val="TableParagraph"/>
              <w:spacing w:before="14"/>
              <w:ind w:left="10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100" w:type="dxa"/>
          </w:tcPr>
          <w:p w:rsidR="00461ED9" w:rsidRDefault="00584798">
            <w:pPr>
              <w:pStyle w:val="TableParagraph"/>
              <w:spacing w:before="35"/>
              <w:ind w:left="167"/>
              <w:rPr>
                <w:b/>
                <w:sz w:val="30"/>
              </w:rPr>
            </w:pPr>
            <w:r>
              <w:rPr>
                <w:b/>
                <w:sz w:val="30"/>
              </w:rPr>
              <w:t>Non-Functional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Requirement</w:t>
            </w:r>
          </w:p>
        </w:tc>
        <w:tc>
          <w:tcPr>
            <w:tcW w:w="4820" w:type="dxa"/>
          </w:tcPr>
          <w:p w:rsidR="00461ED9" w:rsidRDefault="00584798">
            <w:pPr>
              <w:pStyle w:val="TableParagraph"/>
              <w:spacing w:before="15"/>
              <w:ind w:left="91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461ED9">
        <w:trPr>
          <w:trHeight w:val="1570"/>
        </w:trPr>
        <w:tc>
          <w:tcPr>
            <w:tcW w:w="1300" w:type="dxa"/>
          </w:tcPr>
          <w:p w:rsidR="00461ED9" w:rsidRDefault="00584798">
            <w:pPr>
              <w:pStyle w:val="TableParagraph"/>
              <w:spacing w:before="4"/>
              <w:ind w:left="105"/>
            </w:pPr>
            <w:r>
              <w:t>NFR-1</w:t>
            </w:r>
          </w:p>
        </w:tc>
        <w:tc>
          <w:tcPr>
            <w:tcW w:w="4100" w:type="dxa"/>
          </w:tcPr>
          <w:p w:rsidR="00461ED9" w:rsidRDefault="00584798">
            <w:pPr>
              <w:pStyle w:val="TableParagraph"/>
              <w:spacing w:before="5"/>
              <w:ind w:left="95"/>
              <w:rPr>
                <w:b/>
                <w:sz w:val="30"/>
              </w:rPr>
            </w:pPr>
            <w:r>
              <w:rPr>
                <w:b/>
                <w:sz w:val="30"/>
              </w:rPr>
              <w:t>Usability</w:t>
            </w:r>
          </w:p>
        </w:tc>
        <w:tc>
          <w:tcPr>
            <w:tcW w:w="4820" w:type="dxa"/>
          </w:tcPr>
          <w:p w:rsidR="00461ED9" w:rsidRDefault="00584798">
            <w:pPr>
              <w:pStyle w:val="TableParagraph"/>
              <w:tabs>
                <w:tab w:val="left" w:pos="2127"/>
                <w:tab w:val="left" w:pos="3853"/>
              </w:tabs>
              <w:spacing w:line="310" w:lineRule="atLeast"/>
              <w:ind w:right="81"/>
              <w:jc w:val="both"/>
              <w:rPr>
                <w:sz w:val="26"/>
              </w:rPr>
            </w:pPr>
            <w:r>
              <w:rPr>
                <w:sz w:val="26"/>
              </w:rPr>
              <w:t>The wide spectrum of technologies used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Geographical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Global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Positioning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(GPS),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Satellite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navigation</w:t>
            </w:r>
            <w:r>
              <w:rPr>
                <w:sz w:val="26"/>
              </w:rPr>
              <w:tab/>
              <w:t>system,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Satellite</w:t>
            </w:r>
            <w:r>
              <w:rPr>
                <w:spacing w:val="-57"/>
                <w:sz w:val="26"/>
              </w:rPr>
              <w:t xml:space="preserve"> </w:t>
            </w:r>
            <w:r>
              <w:rPr>
                <w:sz w:val="26"/>
              </w:rPr>
              <w:t>communication.</w:t>
            </w:r>
          </w:p>
        </w:tc>
      </w:tr>
      <w:tr w:rsidR="00461ED9">
        <w:trPr>
          <w:trHeight w:val="912"/>
        </w:trPr>
        <w:tc>
          <w:tcPr>
            <w:tcW w:w="1300" w:type="dxa"/>
          </w:tcPr>
          <w:p w:rsidR="00461ED9" w:rsidRDefault="00584798">
            <w:pPr>
              <w:pStyle w:val="TableParagraph"/>
              <w:spacing w:line="258" w:lineRule="exact"/>
              <w:ind w:left="105"/>
            </w:pPr>
            <w:r>
              <w:t>NFR-2</w:t>
            </w:r>
          </w:p>
        </w:tc>
        <w:tc>
          <w:tcPr>
            <w:tcW w:w="4100" w:type="dxa"/>
          </w:tcPr>
          <w:p w:rsidR="00461ED9" w:rsidRDefault="00584798">
            <w:pPr>
              <w:pStyle w:val="TableParagraph"/>
              <w:spacing w:line="357" w:lineRule="exact"/>
              <w:ind w:left="95"/>
              <w:rPr>
                <w:b/>
                <w:sz w:val="30"/>
              </w:rPr>
            </w:pPr>
            <w:r>
              <w:rPr>
                <w:b/>
                <w:sz w:val="30"/>
              </w:rPr>
              <w:t>Security</w:t>
            </w:r>
          </w:p>
        </w:tc>
        <w:tc>
          <w:tcPr>
            <w:tcW w:w="4820" w:type="dxa"/>
          </w:tcPr>
          <w:p w:rsidR="00461ED9" w:rsidRDefault="00584798">
            <w:pPr>
              <w:pStyle w:val="TableParagraph"/>
              <w:spacing w:line="307" w:lineRule="exact"/>
              <w:rPr>
                <w:sz w:val="26"/>
              </w:rPr>
            </w:pPr>
            <w:r>
              <w:rPr>
                <w:sz w:val="26"/>
              </w:rPr>
              <w:t>Identification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measuring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disaster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risk.</w:t>
            </w:r>
          </w:p>
          <w:p w:rsidR="00461ED9" w:rsidRDefault="00584798">
            <w:pPr>
              <w:pStyle w:val="TableParagraph"/>
              <w:spacing w:line="310" w:lineRule="atLeast"/>
              <w:rPr>
                <w:sz w:val="26"/>
              </w:rPr>
            </w:pPr>
            <w:r>
              <w:rPr>
                <w:sz w:val="26"/>
              </w:rPr>
              <w:t>Incorporating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DRM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national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planning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investment.</w:t>
            </w:r>
          </w:p>
        </w:tc>
      </w:tr>
      <w:tr w:rsidR="00461ED9">
        <w:trPr>
          <w:trHeight w:val="920"/>
        </w:trPr>
        <w:tc>
          <w:tcPr>
            <w:tcW w:w="1300" w:type="dxa"/>
          </w:tcPr>
          <w:p w:rsidR="00461ED9" w:rsidRDefault="00584798">
            <w:pPr>
              <w:pStyle w:val="TableParagraph"/>
              <w:spacing w:line="253" w:lineRule="exact"/>
              <w:ind w:left="105"/>
            </w:pPr>
            <w:r>
              <w:t>NFR-3</w:t>
            </w:r>
          </w:p>
        </w:tc>
        <w:tc>
          <w:tcPr>
            <w:tcW w:w="4100" w:type="dxa"/>
          </w:tcPr>
          <w:p w:rsidR="00461ED9" w:rsidRDefault="00584798">
            <w:pPr>
              <w:pStyle w:val="TableParagraph"/>
              <w:spacing w:line="352" w:lineRule="exact"/>
              <w:ind w:left="95"/>
              <w:rPr>
                <w:b/>
                <w:sz w:val="30"/>
              </w:rPr>
            </w:pPr>
            <w:r>
              <w:rPr>
                <w:b/>
                <w:sz w:val="30"/>
              </w:rPr>
              <w:t>Reliability</w:t>
            </w:r>
          </w:p>
        </w:tc>
        <w:tc>
          <w:tcPr>
            <w:tcW w:w="4820" w:type="dxa"/>
          </w:tcPr>
          <w:p w:rsidR="00461ED9" w:rsidRDefault="00584798">
            <w:pPr>
              <w:pStyle w:val="TableParagraph"/>
              <w:tabs>
                <w:tab w:val="left" w:pos="2027"/>
                <w:tab w:val="left" w:pos="3240"/>
                <w:tab w:val="left" w:pos="3835"/>
              </w:tabs>
              <w:spacing w:line="302" w:lineRule="exact"/>
              <w:rPr>
                <w:sz w:val="26"/>
              </w:rPr>
            </w:pPr>
            <w:r>
              <w:rPr>
                <w:sz w:val="26"/>
              </w:rPr>
              <w:t>Disaster-related</w:t>
            </w:r>
            <w:r>
              <w:rPr>
                <w:sz w:val="26"/>
              </w:rPr>
              <w:tab/>
              <w:t>damages</w:t>
            </w:r>
            <w:r>
              <w:rPr>
                <w:sz w:val="26"/>
              </w:rPr>
              <w:tab/>
              <w:t>are</w:t>
            </w:r>
            <w:r>
              <w:rPr>
                <w:sz w:val="26"/>
              </w:rPr>
              <w:tab/>
              <w:t>typically</w:t>
            </w:r>
          </w:p>
          <w:p w:rsidR="00461ED9" w:rsidRDefault="00584798">
            <w:pPr>
              <w:pStyle w:val="TableParagraph"/>
              <w:tabs>
                <w:tab w:val="left" w:pos="1351"/>
              </w:tabs>
              <w:spacing w:line="310" w:lineRule="atLeast"/>
              <w:ind w:right="78"/>
              <w:rPr>
                <w:sz w:val="26"/>
              </w:rPr>
            </w:pPr>
            <w:proofErr w:type="gramStart"/>
            <w:r>
              <w:rPr>
                <w:sz w:val="26"/>
              </w:rPr>
              <w:t>measured</w:t>
            </w:r>
            <w:proofErr w:type="gramEnd"/>
            <w:r>
              <w:rPr>
                <w:sz w:val="26"/>
              </w:rPr>
              <w:tab/>
              <w:t>by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separately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examining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numbers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fatalities,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injuries.</w:t>
            </w:r>
          </w:p>
        </w:tc>
      </w:tr>
      <w:tr w:rsidR="00461ED9">
        <w:trPr>
          <w:trHeight w:val="1234"/>
        </w:trPr>
        <w:tc>
          <w:tcPr>
            <w:tcW w:w="1300" w:type="dxa"/>
          </w:tcPr>
          <w:p w:rsidR="00461ED9" w:rsidRDefault="00584798">
            <w:pPr>
              <w:pStyle w:val="TableParagraph"/>
              <w:spacing w:line="253" w:lineRule="exact"/>
              <w:ind w:left="105"/>
            </w:pPr>
            <w:r>
              <w:t>NFR-4</w:t>
            </w:r>
          </w:p>
        </w:tc>
        <w:tc>
          <w:tcPr>
            <w:tcW w:w="4100" w:type="dxa"/>
          </w:tcPr>
          <w:p w:rsidR="00461ED9" w:rsidRDefault="00584798">
            <w:pPr>
              <w:pStyle w:val="TableParagraph"/>
              <w:spacing w:line="352" w:lineRule="exact"/>
              <w:ind w:left="95"/>
              <w:rPr>
                <w:b/>
                <w:sz w:val="30"/>
              </w:rPr>
            </w:pPr>
            <w:r>
              <w:rPr>
                <w:b/>
                <w:sz w:val="30"/>
              </w:rPr>
              <w:t>Performance</w:t>
            </w:r>
          </w:p>
        </w:tc>
        <w:tc>
          <w:tcPr>
            <w:tcW w:w="4820" w:type="dxa"/>
          </w:tcPr>
          <w:p w:rsidR="00461ED9" w:rsidRDefault="00584798">
            <w:pPr>
              <w:pStyle w:val="TableParagraph"/>
              <w:ind w:right="81"/>
              <w:jc w:val="both"/>
              <w:rPr>
                <w:sz w:val="26"/>
              </w:rPr>
            </w:pPr>
            <w:r>
              <w:rPr>
                <w:sz w:val="26"/>
              </w:rPr>
              <w:t>The identification of hazards; a review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technical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characteristics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hazards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such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location,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intensity,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frequency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461ED9" w:rsidRDefault="00584798">
            <w:pPr>
              <w:pStyle w:val="TableParagraph"/>
              <w:spacing w:line="277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probability</w:t>
            </w:r>
            <w:proofErr w:type="gramEnd"/>
            <w:r>
              <w:rPr>
                <w:sz w:val="26"/>
              </w:rPr>
              <w:t>.</w:t>
            </w:r>
          </w:p>
        </w:tc>
      </w:tr>
      <w:tr w:rsidR="00461ED9">
        <w:trPr>
          <w:trHeight w:val="1569"/>
        </w:trPr>
        <w:tc>
          <w:tcPr>
            <w:tcW w:w="1300" w:type="dxa"/>
          </w:tcPr>
          <w:p w:rsidR="00461ED9" w:rsidRDefault="00584798">
            <w:pPr>
              <w:pStyle w:val="TableParagraph"/>
              <w:spacing w:before="4"/>
              <w:ind w:left="105"/>
            </w:pPr>
            <w:r>
              <w:t>NFR-5</w:t>
            </w:r>
          </w:p>
        </w:tc>
        <w:tc>
          <w:tcPr>
            <w:tcW w:w="4100" w:type="dxa"/>
          </w:tcPr>
          <w:p w:rsidR="00461ED9" w:rsidRDefault="00584798">
            <w:pPr>
              <w:pStyle w:val="TableParagraph"/>
              <w:spacing w:before="6"/>
              <w:ind w:left="95"/>
              <w:rPr>
                <w:b/>
                <w:sz w:val="30"/>
              </w:rPr>
            </w:pPr>
            <w:r>
              <w:rPr>
                <w:b/>
                <w:sz w:val="30"/>
              </w:rPr>
              <w:t>Availability</w:t>
            </w:r>
          </w:p>
        </w:tc>
        <w:tc>
          <w:tcPr>
            <w:tcW w:w="4820" w:type="dxa"/>
          </w:tcPr>
          <w:p w:rsidR="00461ED9" w:rsidRDefault="00584798">
            <w:pPr>
              <w:pStyle w:val="TableParagraph"/>
              <w:spacing w:line="310" w:lineRule="atLeast"/>
              <w:ind w:right="80"/>
              <w:jc w:val="both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weather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climate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disasters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combination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population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growth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development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 the influence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human-caused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climate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change.</w:t>
            </w:r>
          </w:p>
        </w:tc>
      </w:tr>
    </w:tbl>
    <w:p w:rsidR="00461ED9" w:rsidRDefault="00461ED9">
      <w:pPr>
        <w:spacing w:line="310" w:lineRule="atLeast"/>
        <w:jc w:val="both"/>
        <w:rPr>
          <w:sz w:val="26"/>
        </w:rPr>
        <w:sectPr w:rsidR="00461ED9">
          <w:pgSz w:w="11920" w:h="16840"/>
          <w:pgMar w:top="1440" w:right="540" w:bottom="280" w:left="9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4100"/>
        <w:gridCol w:w="4820"/>
      </w:tblGrid>
      <w:tr w:rsidR="00461ED9">
        <w:trPr>
          <w:trHeight w:val="3069"/>
        </w:trPr>
        <w:tc>
          <w:tcPr>
            <w:tcW w:w="1300" w:type="dxa"/>
          </w:tcPr>
          <w:p w:rsidR="00461ED9" w:rsidRDefault="00584798">
            <w:pPr>
              <w:pStyle w:val="TableParagraph"/>
              <w:spacing w:line="263" w:lineRule="exact"/>
              <w:ind w:left="105"/>
            </w:pPr>
            <w:r>
              <w:lastRenderedPageBreak/>
              <w:t>NFR-6</w:t>
            </w:r>
          </w:p>
        </w:tc>
        <w:tc>
          <w:tcPr>
            <w:tcW w:w="4100" w:type="dxa"/>
          </w:tcPr>
          <w:p w:rsidR="00461ED9" w:rsidRDefault="00584798">
            <w:pPr>
              <w:pStyle w:val="TableParagraph"/>
              <w:spacing w:line="362" w:lineRule="exact"/>
              <w:ind w:left="95"/>
              <w:rPr>
                <w:b/>
                <w:sz w:val="30"/>
              </w:rPr>
            </w:pPr>
            <w:r>
              <w:rPr>
                <w:b/>
                <w:color w:val="212121"/>
                <w:sz w:val="30"/>
              </w:rPr>
              <w:t>Scalability</w:t>
            </w:r>
          </w:p>
        </w:tc>
        <w:tc>
          <w:tcPr>
            <w:tcW w:w="4820" w:type="dxa"/>
          </w:tcPr>
          <w:p w:rsidR="00461ED9" w:rsidRDefault="00584798">
            <w:pPr>
              <w:pStyle w:val="TableParagraph"/>
              <w:ind w:right="78"/>
              <w:jc w:val="both"/>
              <w:rPr>
                <w:sz w:val="26"/>
              </w:rPr>
            </w:pPr>
            <w:r>
              <w:rPr>
                <w:sz w:val="26"/>
              </w:rPr>
              <w:t>The Richter scale was calculated for only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earthquake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wave.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replaced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Magnitude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Scale,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records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different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seismic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waves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earthquake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seismographs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across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world.</w:t>
            </w:r>
          </w:p>
        </w:tc>
      </w:tr>
    </w:tbl>
    <w:p w:rsidR="00584798" w:rsidRDefault="00584798">
      <w:bookmarkStart w:id="0" w:name="_GoBack"/>
      <w:bookmarkEnd w:id="0"/>
    </w:p>
    <w:sectPr w:rsidR="00584798">
      <w:pgSz w:w="11920" w:h="16840"/>
      <w:pgMar w:top="1440" w:right="5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D9"/>
    <w:rsid w:val="00461ED9"/>
    <w:rsid w:val="00584798"/>
    <w:rsid w:val="00F3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EF93E-FD2F-4EFC-A132-50D46342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278"/>
      <w:ind w:left="54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place/Earth" TargetMode="External"/><Relationship Id="rId4" Type="http://schemas.openxmlformats.org/officeDocument/2006/relationships/hyperlink" Target="https://www.britannica.com/science/seismic-w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</vt:lpstr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ADMIN</dc:creator>
  <cp:lastModifiedBy>Vaishnaviv1997@outlook.com</cp:lastModifiedBy>
  <cp:revision>2</cp:revision>
  <dcterms:created xsi:type="dcterms:W3CDTF">2022-11-16T15:43:00Z</dcterms:created>
  <dcterms:modified xsi:type="dcterms:W3CDTF">2022-11-16T15:43:00Z</dcterms:modified>
</cp:coreProperties>
</file>