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b/>
          <w:bCs/>
          <w:color w:val="800000"/>
          <w:sz w:val="32"/>
          <w:szCs w:val="32"/>
          <w:u w:val="dash"/>
        </w:rPr>
      </w:pPr>
      <w:bookmarkStart w:id="0" w:name="_GoBack"/>
      <w:bookmarkEnd w:id="0"/>
      <w:r>
        <w:rPr>
          <w:lang w:val="en-US"/>
        </w:rPr>
        <w:t xml:space="preserve">                                                          </w:t>
      </w:r>
      <w:r>
        <w:rPr>
          <w:b/>
          <w:bCs/>
          <w:color w:val="800000"/>
          <w:sz w:val="32"/>
          <w:szCs w:val="32"/>
          <w:u w:val="dash"/>
          <w:lang w:val="en-US"/>
        </w:rPr>
        <w:t xml:space="preserve">LITERATURE SURVEY </w:t>
      </w:r>
    </w:p>
    <w:tbl>
      <w:tblPr>
        <w:tblpPr w:leftFromText="0" w:rightFromText="0" w:topFromText="0" w:bottomFromText="0" w:vertAnchor="text" w:horzAnchor="page" w:tblpX="616" w:tblpY="499"/>
        <w:tblW w:w="10756" w:type="dxa"/>
        <w:jc w:val="left"/>
        <w:tblInd w:w="-773" w:type="dxa"/>
        <w:tblCellMar>
          <w:top w:w="0" w:type="dxa"/>
          <w:left w:w="108" w:type="dxa"/>
          <w:bottom w:w="0" w:type="dxa"/>
          <w:right w:w="108" w:type="dxa"/>
        </w:tblCellMar>
      </w:tblPr>
      <w:tblGrid>
        <w:gridCol w:w="788"/>
        <w:gridCol w:w="2158"/>
        <w:gridCol w:w="2150"/>
        <w:gridCol w:w="2957"/>
        <w:gridCol w:w="2705"/>
      </w:tblGrid>
      <w:tr>
        <w:trPr>
          <w:cantSplit w:val="false"/>
          <w:trHeight w:val="0" w:hRule="auto"/>
          <w:tblHeader w:val="false"/>
          <w:jc w:val="left"/>
        </w:trPr>
        <w:tc>
          <w:tcPr>
            <w:tcW w:w="78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b/>
                <w:sz w:val="28"/>
                <w:szCs w:val="28"/>
                <w:lang w:val="en-US"/>
              </w:rPr>
            </w:pPr>
            <w:r>
              <w:rPr>
                <w:rFonts w:ascii="Times New Roman" w:cs="Times New Roman" w:hAnsi="Times New Roman" w:hint="default"/>
                <w:b/>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hint="default"/>
                <w:b/>
                <w:sz w:val="28"/>
                <w:szCs w:val="28"/>
                <w:lang w:val="en-US"/>
              </w:rPr>
              <w:t>S.No</w:t>
            </w:r>
          </w:p>
        </w:tc>
        <w:tc>
          <w:tcPr>
            <w:tcW w:w="2158" w:type="dxa"/>
            <w:tcBorders>
              <w:top w:val="single" w:sz="4" w:space="0" w:color="auto"/>
              <w:left w:val="single" w:sz="4" w:space="0" w:color="auto"/>
              <w:bottom w:val="single" w:sz="4" w:space="0" w:color="auto"/>
              <w:right w:val="single" w:sz="4" w:space="0" w:color="auto"/>
            </w:tcBorders>
          </w:tcPr>
          <w:p>
            <w:pPr>
              <w:pStyle w:val="style0"/>
              <w:jc w:val="left"/>
              <w:rPr>
                <w:rFonts w:ascii="Times New Roman" w:cs="Times New Roman" w:hAnsi="Times New Roman" w:hint="default"/>
                <w:b/>
                <w:sz w:val="28"/>
                <w:szCs w:val="28"/>
                <w:lang w:val="en-US"/>
              </w:rPr>
            </w:pPr>
          </w:p>
          <w:p>
            <w:pPr>
              <w:pStyle w:val="style0"/>
              <w:jc w:val="left"/>
              <w:rPr>
                <w:rFonts w:ascii="Times New Roman" w:cs="Times New Roman" w:hAnsi="Times New Roman"/>
                <w:sz w:val="28"/>
                <w:szCs w:val="28"/>
              </w:rPr>
            </w:pPr>
            <w:r>
              <w:rPr>
                <w:rFonts w:ascii="Times New Roman" w:cs="Times New Roman" w:hAnsi="Times New Roman" w:hint="default"/>
                <w:b/>
                <w:sz w:val="28"/>
                <w:szCs w:val="28"/>
                <w:lang w:val="en-US"/>
              </w:rPr>
              <w:t xml:space="preserve">        Title</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b/>
                <w:sz w:val="28"/>
                <w:szCs w:val="28"/>
                <w:lang w:val="en-US"/>
              </w:rPr>
            </w:pPr>
          </w:p>
          <w:p>
            <w:pPr>
              <w:pStyle w:val="style0"/>
              <w:rPr>
                <w:rFonts w:ascii="Times New Roman" w:cs="Times New Roman" w:hAnsi="Times New Roman"/>
                <w:sz w:val="28"/>
                <w:szCs w:val="28"/>
              </w:rPr>
            </w:pPr>
            <w:r>
              <w:rPr>
                <w:rFonts w:ascii="Times New Roman" w:cs="Times New Roman" w:hAnsi="Times New Roman" w:hint="default"/>
                <w:b/>
                <w:sz w:val="28"/>
                <w:szCs w:val="28"/>
                <w:lang w:val="en-US"/>
              </w:rPr>
              <w:t>Author and date of publication</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hint="default"/>
                <w:b/>
                <w:sz w:val="28"/>
                <w:szCs w:val="28"/>
                <w:lang w:val="en-US"/>
              </w:rPr>
              <w:t>Advantage</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hint="default"/>
                <w:b/>
                <w:sz w:val="28"/>
                <w:szCs w:val="28"/>
                <w:lang w:val="en-US"/>
              </w:rPr>
              <w:t>Disadvantage</w:t>
            </w:r>
          </w:p>
        </w:tc>
      </w:tr>
      <w:tr>
        <w:tblPrEx/>
        <w:trPr>
          <w:cantSplit w:val="false"/>
          <w:trHeight w:val="1902" w:hRule="atLeast"/>
          <w:tblHeader w:val="false"/>
          <w:jc w:val="left"/>
        </w:trPr>
        <w:tc>
          <w:tcPr>
            <w:tcW w:w="78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1.         </w:t>
            </w:r>
          </w:p>
        </w:tc>
        <w:tc>
          <w:tcPr>
            <w:tcW w:w="2158" w:type="dxa"/>
            <w:tcBorders>
              <w:top w:val="single" w:sz="4" w:space="0" w:color="auto"/>
              <w:left w:val="single" w:sz="4" w:space="0" w:color="auto"/>
              <w:bottom w:val="single" w:sz="4" w:space="0" w:color="auto"/>
              <w:right w:val="single" w:sz="4" w:space="0" w:color="auto"/>
            </w:tcBorders>
          </w:tcPr>
          <w:p>
            <w:pPr>
              <w:pStyle w:val="style0"/>
              <w:jc w:val="left"/>
              <w:rPr>
                <w:rFonts w:ascii="Times New Roman" w:cs="Times New Roman" w:hAnsi="Times New Roman"/>
                <w:sz w:val="24"/>
                <w:szCs w:val="24"/>
              </w:rPr>
            </w:pPr>
            <w:r>
              <w:rPr>
                <w:rFonts w:ascii="Times New Roman" w:cs="Times New Roman" w:hAnsi="Times New Roman" w:hint="default"/>
                <w:sz w:val="24"/>
                <w:szCs w:val="24"/>
                <w:lang w:val="en-US"/>
              </w:rPr>
              <w:t>IOT-Based route Recommendation for  an Intelligent Waste Management System</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lang w:val="en-US"/>
              </w:rPr>
            </w:pP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MohammadHossein ghahramani -15th July 2022</w:t>
            </w:r>
          </w:p>
        </w:tc>
        <w:tc>
          <w:tcPr>
            <w:tcW w:w="2957" w:type="dxa"/>
            <w:tcBorders>
              <w:top w:val="single" w:sz="4" w:space="0" w:color="auto"/>
              <w:left w:val="single" w:sz="4" w:space="0" w:color="auto"/>
              <w:bottom w:val="single" w:sz="4" w:space="0" w:color="auto"/>
              <w:right w:val="single" w:sz="4" w:space="0" w:color="auto"/>
            </w:tcBorders>
          </w:tcPr>
          <w:p>
            <w:pPr>
              <w:pStyle w:val="style0"/>
              <w:spacing w:lineRule="auto" w:line="276"/>
              <w:rPr>
                <w:rFonts w:ascii="Times New Roman" w:cs="Times New Roman" w:hAnsi="Times New Roman"/>
                <w:sz w:val="24"/>
                <w:szCs w:val="24"/>
              </w:rPr>
            </w:pPr>
            <w:r>
              <w:rPr>
                <w:rFonts w:ascii="Times New Roman" w:cs="Times New Roman" w:hAnsi="Times New Roman" w:hint="default"/>
                <w:sz w:val="24"/>
                <w:szCs w:val="24"/>
                <w:lang w:val="en-US"/>
              </w:rPr>
              <w:t xml:space="preserve"> It also maintains a good diversity in a newly generated population.</w:t>
            </w:r>
          </w:p>
          <w:p>
            <w:pPr>
              <w:pStyle w:val="style0"/>
              <w:spacing w:lineRule="auto" w:line="276"/>
              <w:rPr>
                <w:rFonts w:ascii="Times New Roman" w:cs="Times New Roman" w:hAnsi="Times New Roman"/>
                <w:sz w:val="24"/>
                <w:szCs w:val="24"/>
              </w:rPr>
            </w:pPr>
            <w:r>
              <w:rPr>
                <w:rFonts w:ascii="Times New Roman" w:cs="Times New Roman" w:hAnsi="Times New Roman" w:hint="default"/>
                <w:sz w:val="24"/>
                <w:szCs w:val="24"/>
                <w:lang w:val="en-US"/>
              </w:rPr>
              <w:t xml:space="preserve"> Different types of mutation operations(e.g., insertion, invention and swap) have been considered in our model.</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main drawback of the state of art was that it cannot appropriately model the association among spatial objects, consequently find an optimal route</w:t>
            </w:r>
          </w:p>
        </w:tc>
      </w:tr>
      <w:tr>
        <w:tblPrEx/>
        <w:trPr>
          <w:cantSplit w:val="false"/>
          <w:trHeight w:val="0" w:hRule="auto"/>
          <w:tblHeader w:val="false"/>
          <w:jc w:val="left"/>
        </w:trPr>
        <w:tc>
          <w:tcPr>
            <w:tcW w:w="78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2.</w:t>
            </w:r>
          </w:p>
        </w:tc>
        <w:tc>
          <w:tcPr>
            <w:tcW w:w="215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rPr>
              <w:t>IoT-Enabled Smart Waste Management Systems for Smart Cities: A Systematic Review</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rPr>
            </w:pPr>
          </w:p>
          <w:p>
            <w:pPr>
              <w:pStyle w:val="style0"/>
              <w:rPr>
                <w:rFonts w:ascii="Times New Roman" w:cs="Times New Roman" w:hAnsi="Times New Roman"/>
                <w:sz w:val="24"/>
                <w:szCs w:val="24"/>
              </w:rPr>
            </w:pPr>
            <w:r>
              <w:rPr>
                <w:rFonts w:ascii="Times New Roman" w:cs="Times New Roman" w:hAnsi="Times New Roman" w:hint="default"/>
                <w:sz w:val="24"/>
                <w:szCs w:val="24"/>
              </w:rPr>
              <w:t>Inna Sosunova</w:t>
            </w:r>
            <w:r>
              <w:rPr>
                <w:rFonts w:ascii="Times New Roman" w:cs="Times New Roman" w:hAnsi="Times New Roman" w:hint="default"/>
                <w:sz w:val="24"/>
                <w:szCs w:val="24"/>
                <w:lang w:val="en-US"/>
              </w:rPr>
              <w:t>-4th July 2022</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Optimization of the garbage collection process, reduction of labor and resource cost, increase in efficiency and comfort of citizens.</w:t>
            </w: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Improvement of the ecological situation in the city.</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main weakness of the current studies (and thus also a gap) is that none of them aims to propose a general holistic view at any level of operation.</w:t>
            </w:r>
          </w:p>
        </w:tc>
      </w:tr>
      <w:tr>
        <w:tblPrEx/>
        <w:trPr>
          <w:cantSplit w:val="false"/>
          <w:trHeight w:val="2080" w:hRule="atLeast"/>
          <w:tblHeader w:val="false"/>
          <w:jc w:val="left"/>
        </w:trPr>
        <w:tc>
          <w:tcPr>
            <w:tcW w:w="78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3.</w:t>
            </w:r>
          </w:p>
        </w:tc>
        <w:tc>
          <w:tcPr>
            <w:tcW w:w="215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Assessing the Adaptation of Internet of Things (IoT) Barriers for Smart Cities’ Waste Management Using Fermatean Fuzzy Combined Compromise Solution Approach</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lang w:val="en-US"/>
              </w:rPr>
            </w:pP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Arunodaya R. Mishra-1st April 2022</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To improve the quality of life and achieve sustainability, the adoption of IOT technologies plays a key driver for the efficient and sustainable development of smart cities.</w:t>
            </w: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test shows that the method is practical and flexible for solving MADM problems in complex environments.</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proposed study is unable to deal with the new generation of smart applications with more complex sets of heterogeneous information, data, systems, sensors, devices, etc. Also, this study has not included several open technical and social challenges.</w:t>
            </w:r>
          </w:p>
        </w:tc>
      </w:tr>
      <w:tr>
        <w:tblPrEx/>
        <w:trPr>
          <w:cantSplit w:val="false"/>
          <w:tblHeader w:val="false"/>
          <w:jc w:val="left"/>
        </w:trPr>
        <w:tc>
          <w:tcPr>
            <w:tcW w:w="78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4.</w:t>
            </w:r>
          </w:p>
        </w:tc>
        <w:tc>
          <w:tcPr>
            <w:tcW w:w="215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Assessment of Solid Waste Management Strategies Using an Efficient Complex Fuzzy Hypersoft Set Algorithm Based on Entropy and Similarity Measures.</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lang w:val="en-US"/>
              </w:rPr>
            </w:pP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Mohammad saeed-8th Nov 2022</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Utilizing  effective and appropriate SWM stragies is necessary to regulate many forms of pollution, prevent infectious illness, conserve natural resources, and recycle toxic substances.</w:t>
            </w: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Blending a FS and HSS described in complex structure provides the CFHSS set.</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When the features would be further split into attribute values and concerns that comprise two-dimensional content, all preceding restraints are abolished</w:t>
            </w:r>
          </w:p>
        </w:tc>
      </w:tr>
      <w:tr>
        <w:tblPrEx/>
        <w:trPr>
          <w:cantSplit w:val="false"/>
          <w:tblHeader w:val="false"/>
          <w:jc w:val="left"/>
        </w:trPr>
        <w:tc>
          <w:tcPr>
            <w:tcW w:w="78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5.</w:t>
            </w:r>
          </w:p>
        </w:tc>
        <w:tc>
          <w:tcPr>
            <w:tcW w:w="215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Blockchain for Waste Management in Smart Cities: A Survey</w:t>
            </w:r>
          </w:p>
        </w:tc>
        <w:tc>
          <w:tcPr>
            <w:tcW w:w="215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hint="default"/>
                <w:sz w:val="24"/>
                <w:szCs w:val="24"/>
                <w:lang w:val="en-US"/>
              </w:rPr>
            </w:pPr>
          </w:p>
          <w:p>
            <w:pPr>
              <w:pStyle w:val="style0"/>
              <w:rPr>
                <w:rFonts w:ascii="Times New Roman" w:cs="Times New Roman" w:hAnsi="Times New Roman"/>
                <w:sz w:val="24"/>
                <w:szCs w:val="24"/>
              </w:rPr>
            </w:pPr>
            <w:r>
              <w:rPr>
                <w:rFonts w:ascii="Times New Roman" w:cs="Times New Roman" w:hAnsi="Times New Roman" w:hint="default"/>
                <w:sz w:val="24"/>
                <w:szCs w:val="24"/>
                <w:lang w:val="en-US"/>
              </w:rPr>
              <w:t>Raja Wasim Ahmad-16th sep 2021</w:t>
            </w:r>
          </w:p>
        </w:tc>
        <w:tc>
          <w:tcPr>
            <w:tcW w:w="2957"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Blockchain technology can be leveraged for managing waste within smart cities in a manner that is decentralized,temper-proof, transparent, traceable and trackable, auditable, secure and trustworthy.</w:t>
            </w:r>
          </w:p>
        </w:tc>
        <w:tc>
          <w:tcPr>
            <w:tcW w:w="2705"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r>
              <w:rPr>
                <w:rFonts w:ascii="Times New Roman" w:cs="Times New Roman" w:hAnsi="Times New Roman" w:hint="default"/>
                <w:sz w:val="24"/>
                <w:szCs w:val="24"/>
                <w:lang w:val="en-US"/>
              </w:rPr>
              <w:t xml:space="preserve">   The performance of blockchain is severely affected by large-scale business applications.</w:t>
            </w:r>
          </w:p>
        </w:tc>
      </w:tr>
    </w:tbl>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134</TotalTime>
  <Words>391</Words>
  <Characters>2297</Characters>
  <Application>WPS Office</Application>
  <Paragraphs>56</Paragraphs>
  <CharactersWithSpaces>2749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2022-09-11T04:42:41Z</dcterms:created>
  <dc:creator>M2004J19C</dc:creator>
  <lastModifiedBy>M2004J19C</lastModifiedBy>
  <dcterms:modified xsi:type="dcterms:W3CDTF">2022-09-11T15:38:49Z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179fd99124ea4454a535c8ce889b67e6</vt:lpwstr>
  </property>
</Properties>
</file>