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32" w:rsidRPr="008216B1" w:rsidRDefault="00905CCE" w:rsidP="008216B1">
      <w:pPr>
        <w:ind w:left="1440" w:firstLine="720"/>
        <w:rPr>
          <w:b/>
          <w:sz w:val="40"/>
          <w:szCs w:val="40"/>
        </w:rPr>
      </w:pPr>
      <w:r w:rsidRPr="008216B1">
        <w:rPr>
          <w:b/>
          <w:sz w:val="40"/>
          <w:szCs w:val="40"/>
        </w:rPr>
        <w:t>LITERATURE SURVEY</w:t>
      </w:r>
    </w:p>
    <w:p w:rsidR="00905CCE" w:rsidRDefault="00905CCE" w:rsidP="00905CCE">
      <w:pPr>
        <w:rPr>
          <w:sz w:val="40"/>
          <w:szCs w:val="40"/>
        </w:rPr>
      </w:pPr>
    </w:p>
    <w:p w:rsidR="00905CCE" w:rsidRDefault="00905CCE" w:rsidP="00905CCE">
      <w:pPr>
        <w:rPr>
          <w:sz w:val="36"/>
          <w:szCs w:val="36"/>
        </w:rPr>
      </w:pPr>
      <w:r>
        <w:rPr>
          <w:sz w:val="36"/>
          <w:szCs w:val="36"/>
        </w:rPr>
        <w:t>JOURNEL PAPERS AND INFERENCE</w:t>
      </w:r>
    </w:p>
    <w:p w:rsidR="00905CCE" w:rsidRPr="008216B1" w:rsidRDefault="00905CCE" w:rsidP="00905CCE">
      <w:pPr>
        <w:rPr>
          <w:b/>
          <w:sz w:val="36"/>
          <w:szCs w:val="36"/>
        </w:rPr>
      </w:pPr>
    </w:p>
    <w:p w:rsidR="00905CCE" w:rsidRPr="008216B1" w:rsidRDefault="00905CCE" w:rsidP="008216B1">
      <w:pPr>
        <w:widowControl/>
        <w:adjustRightInd w:val="0"/>
        <w:spacing w:line="360" w:lineRule="auto"/>
        <w:rPr>
          <w:rFonts w:cs="Times New Roman"/>
          <w:b/>
          <w:bCs/>
          <w:color w:val="131413"/>
          <w:sz w:val="24"/>
          <w:szCs w:val="24"/>
        </w:rPr>
      </w:pPr>
      <w:r w:rsidRPr="008216B1">
        <w:rPr>
          <w:b/>
          <w:sz w:val="24"/>
          <w:szCs w:val="24"/>
        </w:rPr>
        <w:t>TITLE</w:t>
      </w:r>
      <w:r w:rsidRPr="008216B1">
        <w:rPr>
          <w:b/>
          <w:sz w:val="36"/>
          <w:szCs w:val="36"/>
        </w:rPr>
        <w:t>:</w:t>
      </w:r>
      <w:r w:rsidRPr="008216B1">
        <w:rPr>
          <w:rFonts w:ascii="MyriadPro-SemiboldSemiCn" w:hAnsi="MyriadPro-SemiboldSemiCn" w:cs="MyriadPro-SemiboldSemiCn"/>
          <w:b/>
          <w:bCs/>
          <w:color w:val="131413"/>
          <w:sz w:val="26"/>
          <w:szCs w:val="26"/>
        </w:rPr>
        <w:t xml:space="preserve"> </w:t>
      </w:r>
      <w:r w:rsidRPr="008216B1">
        <w:rPr>
          <w:rFonts w:cs="Times New Roman"/>
          <w:b/>
          <w:bCs/>
          <w:color w:val="131413"/>
          <w:sz w:val="24"/>
          <w:szCs w:val="24"/>
        </w:rPr>
        <w:t xml:space="preserve">Effects and challenges of using a nutrition assistance </w:t>
      </w:r>
      <w:r w:rsidR="008216B1">
        <w:rPr>
          <w:rFonts w:cs="Times New Roman"/>
          <w:b/>
          <w:bCs/>
          <w:color w:val="131413"/>
          <w:sz w:val="24"/>
          <w:szCs w:val="24"/>
        </w:rPr>
        <w:t xml:space="preserve">system: results of a long </w:t>
      </w:r>
      <w:r w:rsidRPr="008216B1">
        <w:rPr>
          <w:rFonts w:cs="Times New Roman"/>
          <w:b/>
          <w:bCs/>
          <w:color w:val="131413"/>
          <w:sz w:val="24"/>
          <w:szCs w:val="24"/>
        </w:rPr>
        <w:t xml:space="preserve">term </w:t>
      </w:r>
      <w:r w:rsidR="008216B1">
        <w:rPr>
          <w:rFonts w:cs="Times New Roman"/>
          <w:b/>
          <w:bCs/>
          <w:color w:val="131413"/>
          <w:sz w:val="24"/>
          <w:szCs w:val="24"/>
        </w:rPr>
        <w:t xml:space="preserve">      </w:t>
      </w:r>
      <w:r w:rsidR="008216B1" w:rsidRPr="008216B1">
        <w:rPr>
          <w:rFonts w:cs="Times New Roman"/>
          <w:b/>
          <w:bCs/>
          <w:color w:val="131413"/>
          <w:sz w:val="24"/>
          <w:szCs w:val="24"/>
        </w:rPr>
        <w:t xml:space="preserve"> </w:t>
      </w:r>
      <w:r w:rsidRPr="008216B1">
        <w:rPr>
          <w:rFonts w:cs="Times New Roman"/>
          <w:b/>
          <w:bCs/>
          <w:color w:val="131413"/>
          <w:sz w:val="24"/>
          <w:szCs w:val="24"/>
        </w:rPr>
        <w:t>mixed-method study</w:t>
      </w:r>
    </w:p>
    <w:p w:rsidR="00905CCE" w:rsidRPr="00905CCE" w:rsidRDefault="00905CCE" w:rsidP="00905CCE">
      <w:pPr>
        <w:widowControl/>
        <w:adjustRightInd w:val="0"/>
        <w:spacing w:line="480" w:lineRule="auto"/>
        <w:rPr>
          <w:rFonts w:cs="Times New Roman"/>
          <w:b/>
          <w:bCs/>
          <w:color w:val="131413"/>
          <w:sz w:val="24"/>
          <w:szCs w:val="24"/>
        </w:rPr>
      </w:pPr>
    </w:p>
    <w:p w:rsidR="00905CCE" w:rsidRPr="008216B1" w:rsidRDefault="00905CCE" w:rsidP="00905CCE">
      <w:pPr>
        <w:widowControl/>
        <w:adjustRightInd w:val="0"/>
        <w:spacing w:line="480" w:lineRule="auto"/>
        <w:jc w:val="both"/>
        <w:rPr>
          <w:rFonts w:cs="Times New Roman"/>
          <w:bCs/>
          <w:color w:val="131413"/>
          <w:sz w:val="24"/>
          <w:szCs w:val="24"/>
        </w:rPr>
      </w:pPr>
      <w:r w:rsidRPr="008216B1">
        <w:rPr>
          <w:rFonts w:cs="Times New Roman"/>
          <w:bCs/>
          <w:color w:val="131413"/>
          <w:sz w:val="24"/>
          <w:szCs w:val="24"/>
        </w:rPr>
        <w:t xml:space="preserve">Hanna Hauptmann1 · </w:t>
      </w:r>
      <w:proofErr w:type="spellStart"/>
      <w:r w:rsidRPr="008216B1">
        <w:rPr>
          <w:rFonts w:cs="Times New Roman"/>
          <w:bCs/>
          <w:color w:val="131413"/>
          <w:sz w:val="24"/>
          <w:szCs w:val="24"/>
        </w:rPr>
        <w:t>Nadja</w:t>
      </w:r>
      <w:proofErr w:type="spellEnd"/>
      <w:r w:rsidRPr="008216B1">
        <w:rPr>
          <w:rFonts w:cs="Times New Roman"/>
          <w:bCs/>
          <w:color w:val="131413"/>
          <w:sz w:val="24"/>
          <w:szCs w:val="24"/>
        </w:rPr>
        <w:t xml:space="preserve"> Leipold2 · Mira Madenach2 ·Monika Wintergerst2 · Martin Lurz2 · Georg Groh2 · Markus Böhm2 ·Kurt Gedrich2 · Helmut Krcmar2</w:t>
      </w:r>
    </w:p>
    <w:p w:rsidR="00905CCE" w:rsidRPr="008216B1" w:rsidRDefault="00905CCE" w:rsidP="00905CCE">
      <w:pPr>
        <w:widowControl/>
        <w:adjustRightInd w:val="0"/>
        <w:spacing w:line="480" w:lineRule="auto"/>
        <w:rPr>
          <w:rFonts w:cs="Times New Roman"/>
          <w:color w:val="131413"/>
          <w:sz w:val="24"/>
          <w:szCs w:val="24"/>
        </w:rPr>
      </w:pPr>
      <w:r w:rsidRPr="008216B1">
        <w:rPr>
          <w:rFonts w:cs="Times New Roman"/>
          <w:color w:val="131413"/>
          <w:sz w:val="24"/>
          <w:szCs w:val="24"/>
        </w:rPr>
        <w:t>Received: 19 June 2020 / Accepted in revised form: 26 May 2021</w:t>
      </w:r>
    </w:p>
    <w:p w:rsidR="00905CCE" w:rsidRPr="008216B1" w:rsidRDefault="00905CCE" w:rsidP="00905CCE">
      <w:pPr>
        <w:spacing w:line="480" w:lineRule="auto"/>
        <w:rPr>
          <w:rFonts w:cs="Times New Roman"/>
          <w:sz w:val="24"/>
          <w:szCs w:val="24"/>
        </w:rPr>
      </w:pPr>
      <w:r w:rsidRPr="008216B1">
        <w:rPr>
          <w:rFonts w:cs="Times New Roman"/>
          <w:color w:val="131413"/>
          <w:sz w:val="24"/>
          <w:szCs w:val="24"/>
        </w:rPr>
        <w:t>© The Author(s) 2021</w:t>
      </w:r>
    </w:p>
    <w:p w:rsidR="008216B1" w:rsidRPr="008216B1" w:rsidRDefault="008216B1" w:rsidP="008216B1">
      <w:pPr>
        <w:widowControl/>
        <w:adjustRightInd w:val="0"/>
        <w:spacing w:line="480" w:lineRule="auto"/>
        <w:jc w:val="both"/>
        <w:rPr>
          <w:rFonts w:cs="Times New Roman"/>
          <w:sz w:val="24"/>
          <w:szCs w:val="24"/>
        </w:rPr>
      </w:pPr>
    </w:p>
    <w:p w:rsidR="00905CCE" w:rsidRPr="00905CCE" w:rsidRDefault="00905CCE" w:rsidP="008216B1">
      <w:pPr>
        <w:widowControl/>
        <w:adjustRightInd w:val="0"/>
        <w:spacing w:line="480" w:lineRule="auto"/>
        <w:ind w:firstLine="720"/>
        <w:jc w:val="both"/>
        <w:rPr>
          <w:rFonts w:cs="Times New Roman"/>
          <w:color w:val="131413"/>
          <w:sz w:val="24"/>
          <w:szCs w:val="24"/>
        </w:rPr>
      </w:pPr>
      <w:r w:rsidRPr="00905CCE">
        <w:rPr>
          <w:rFonts w:cs="Times New Roman"/>
          <w:color w:val="131413"/>
          <w:sz w:val="24"/>
          <w:szCs w:val="24"/>
        </w:rPr>
        <w:t xml:space="preserve">Healthy nutrition contributes to preventing non-communicable and diet-related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diseases.Recommender</w:t>
      </w:r>
      <w:proofErr w:type="spellEnd"/>
      <w:r w:rsidRPr="00905CCE">
        <w:rPr>
          <w:rFonts w:cs="Times New Roman"/>
          <w:color w:val="131413"/>
          <w:sz w:val="24"/>
          <w:szCs w:val="24"/>
        </w:rPr>
        <w:t xml:space="preserve"> s</w:t>
      </w:r>
      <w:r>
        <w:rPr>
          <w:rFonts w:cs="Times New Roman"/>
          <w:color w:val="131413"/>
          <w:sz w:val="24"/>
          <w:szCs w:val="24"/>
        </w:rPr>
        <w:t xml:space="preserve">ystems, as an integral part of </w:t>
      </w:r>
      <w:r w:rsidRPr="00905CCE">
        <w:rPr>
          <w:rFonts w:cs="Times New Roman"/>
          <w:color w:val="131413"/>
          <w:sz w:val="24"/>
          <w:szCs w:val="24"/>
        </w:rPr>
        <w:t>Health technologies, address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this task by supporting users with healthy food recommendations. However, knowledge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about the effects of the long-term provision of health-aware recommendations in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real-life situations is limited. This study investigates the impact of a mobile, personalized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 xml:space="preserve">recommender system named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Nutrilize</w:t>
      </w:r>
      <w:proofErr w:type="spellEnd"/>
      <w:r w:rsidRPr="00905CCE">
        <w:rPr>
          <w:rFonts w:cs="Times New Roman"/>
          <w:color w:val="131413"/>
          <w:sz w:val="24"/>
          <w:szCs w:val="24"/>
        </w:rPr>
        <w:t>. Our system offers automated personalized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 xml:space="preserve">visual feedback and recommendations based on individual dietary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behaviour</w:t>
      </w:r>
      <w:proofErr w:type="spellEnd"/>
      <w:r w:rsidRPr="00905CCE">
        <w:rPr>
          <w:rFonts w:cs="Times New Roman"/>
          <w:color w:val="131413"/>
          <w:sz w:val="24"/>
          <w:szCs w:val="24"/>
        </w:rPr>
        <w:t>, phenotype,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 xml:space="preserve">and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preferences.By</w:t>
      </w:r>
      <w:proofErr w:type="spellEnd"/>
      <w:r w:rsidRPr="00905CCE">
        <w:rPr>
          <w:rFonts w:cs="Times New Roman"/>
          <w:color w:val="131413"/>
          <w:sz w:val="24"/>
          <w:szCs w:val="24"/>
        </w:rPr>
        <w:t xml:space="preserve"> using quantitative and qualitative measures of 34 participants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during a study of 2–3 months, we provide a deeper understanding of how our nutrition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 xml:space="preserve">application affects the users’ physique, nutrition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behaviour</w:t>
      </w:r>
      <w:proofErr w:type="spellEnd"/>
      <w:r w:rsidRPr="00905CCE">
        <w:rPr>
          <w:rFonts w:cs="Times New Roman"/>
          <w:color w:val="131413"/>
          <w:sz w:val="24"/>
          <w:szCs w:val="24"/>
        </w:rPr>
        <w:t xml:space="preserve">, </w:t>
      </w:r>
      <w:proofErr w:type="gramStart"/>
      <w:r w:rsidRPr="00905CCE">
        <w:rPr>
          <w:rFonts w:cs="Times New Roman"/>
          <w:color w:val="131413"/>
          <w:sz w:val="24"/>
          <w:szCs w:val="24"/>
        </w:rPr>
        <w:t>system</w:t>
      </w:r>
      <w:proofErr w:type="gramEnd"/>
      <w:r w:rsidRPr="00905CCE">
        <w:rPr>
          <w:rFonts w:cs="Times New Roman"/>
          <w:color w:val="131413"/>
          <w:sz w:val="24"/>
          <w:szCs w:val="24"/>
        </w:rPr>
        <w:t xml:space="preserve"> interactions</w:t>
      </w:r>
    </w:p>
    <w:p w:rsidR="00905CCE" w:rsidRDefault="00905CCE" w:rsidP="00905CCE">
      <w:pPr>
        <w:widowControl/>
        <w:adjustRightInd w:val="0"/>
        <w:spacing w:line="480" w:lineRule="auto"/>
        <w:jc w:val="both"/>
        <w:rPr>
          <w:rFonts w:cs="Times New Roman"/>
          <w:color w:val="131413"/>
          <w:sz w:val="24"/>
          <w:szCs w:val="24"/>
        </w:rPr>
      </w:pPr>
      <w:proofErr w:type="gramStart"/>
      <w:r w:rsidRPr="00905CCE">
        <w:rPr>
          <w:rFonts w:cs="Times New Roman"/>
          <w:color w:val="131413"/>
          <w:sz w:val="24"/>
          <w:szCs w:val="24"/>
        </w:rPr>
        <w:t>and</w:t>
      </w:r>
      <w:proofErr w:type="gramEnd"/>
      <w:r w:rsidRPr="00905CCE">
        <w:rPr>
          <w:rFonts w:cs="Times New Roman"/>
          <w:color w:val="131413"/>
          <w:sz w:val="24"/>
          <w:szCs w:val="24"/>
        </w:rPr>
        <w:t xml:space="preserve"> system perception. Our results show that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Nutrilize</w:t>
      </w:r>
      <w:proofErr w:type="spellEnd"/>
      <w:r w:rsidRPr="00905CCE">
        <w:rPr>
          <w:rFonts w:cs="Times New Roman"/>
          <w:color w:val="131413"/>
          <w:sz w:val="24"/>
          <w:szCs w:val="24"/>
        </w:rPr>
        <w:t xml:space="preserve"> positively affects nutritional</w:t>
      </w:r>
      <w:r>
        <w:rPr>
          <w:rFonts w:cs="Times New Roman"/>
          <w:color w:val="131413"/>
          <w:sz w:val="24"/>
          <w:szCs w:val="24"/>
        </w:rPr>
        <w:t xml:space="preserve">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behaviour</w:t>
      </w:r>
      <w:proofErr w:type="spellEnd"/>
      <w:r w:rsidRPr="00905CCE">
        <w:rPr>
          <w:rFonts w:cs="Times New Roman"/>
          <w:color w:val="131413"/>
          <w:sz w:val="24"/>
          <w:szCs w:val="24"/>
        </w:rPr>
        <w:t xml:space="preserve"> (conditional </w:t>
      </w:r>
      <w:r w:rsidRPr="00905CCE">
        <w:rPr>
          <w:rFonts w:cs="Times New Roman"/>
          <w:i/>
          <w:iCs/>
          <w:color w:val="131413"/>
          <w:sz w:val="24"/>
          <w:szCs w:val="24"/>
        </w:rPr>
        <w:t>R</w:t>
      </w:r>
      <w:r w:rsidRPr="00905CCE">
        <w:rPr>
          <w:rFonts w:cs="Times New Roman"/>
          <w:color w:val="131413"/>
          <w:sz w:val="24"/>
          <w:szCs w:val="24"/>
        </w:rPr>
        <w:t xml:space="preserve">2 </w:t>
      </w:r>
      <w:r w:rsidRPr="00905CCE">
        <w:rPr>
          <w:rFonts w:eastAsia="MTSYN" w:cs="Times New Roman"/>
          <w:color w:val="131413"/>
          <w:sz w:val="24"/>
          <w:szCs w:val="24"/>
        </w:rPr>
        <w:t xml:space="preserve">= </w:t>
      </w:r>
      <w:r w:rsidRPr="00905CCE">
        <w:rPr>
          <w:rFonts w:cs="Times New Roman"/>
          <w:i/>
          <w:iCs/>
          <w:color w:val="131413"/>
          <w:sz w:val="24"/>
          <w:szCs w:val="24"/>
        </w:rPr>
        <w:t>.</w:t>
      </w:r>
      <w:r w:rsidRPr="00905CCE">
        <w:rPr>
          <w:rFonts w:cs="Times New Roman"/>
          <w:color w:val="131413"/>
          <w:sz w:val="24"/>
          <w:szCs w:val="24"/>
        </w:rPr>
        <w:t xml:space="preserve">342) measured by the optimal intake of each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nutrient.The</w:t>
      </w:r>
      <w:proofErr w:type="spellEnd"/>
      <w:r w:rsidRPr="00905CCE">
        <w:rPr>
          <w:rFonts w:cs="Times New Roman"/>
          <w:color w:val="131413"/>
          <w:sz w:val="24"/>
          <w:szCs w:val="24"/>
        </w:rPr>
        <w:t xml:space="preserve"> analysis of different application features shows that reflective visual feedback has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 xml:space="preserve">a more substantial impact on </w:t>
      </w:r>
      <w:r w:rsidRPr="00905CCE">
        <w:rPr>
          <w:rFonts w:cs="Times New Roman"/>
          <w:color w:val="131413"/>
          <w:sz w:val="24"/>
          <w:szCs w:val="24"/>
        </w:rPr>
        <w:lastRenderedPageBreak/>
        <w:t xml:space="preserve">healthy </w:t>
      </w:r>
      <w:proofErr w:type="spellStart"/>
      <w:r w:rsidRPr="00905CCE">
        <w:rPr>
          <w:rFonts w:cs="Times New Roman"/>
          <w:color w:val="131413"/>
          <w:sz w:val="24"/>
          <w:szCs w:val="24"/>
        </w:rPr>
        <w:t>behaviour</w:t>
      </w:r>
      <w:proofErr w:type="spellEnd"/>
      <w:r w:rsidRPr="00905CCE">
        <w:rPr>
          <w:rFonts w:cs="Times New Roman"/>
          <w:color w:val="131413"/>
          <w:sz w:val="24"/>
          <w:szCs w:val="24"/>
        </w:rPr>
        <w:t xml:space="preserve"> than the recommender (conditional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i/>
          <w:iCs/>
          <w:color w:val="131413"/>
          <w:sz w:val="24"/>
          <w:szCs w:val="24"/>
        </w:rPr>
        <w:t>R</w:t>
      </w:r>
      <w:r w:rsidRPr="00905CCE">
        <w:rPr>
          <w:rFonts w:cs="Times New Roman"/>
          <w:color w:val="131413"/>
          <w:sz w:val="24"/>
          <w:szCs w:val="24"/>
        </w:rPr>
        <w:t xml:space="preserve">2 </w:t>
      </w:r>
      <w:r w:rsidRPr="00905CCE">
        <w:rPr>
          <w:rFonts w:eastAsia="MTSYN" w:cs="Times New Roman"/>
          <w:color w:val="131413"/>
          <w:sz w:val="24"/>
          <w:szCs w:val="24"/>
        </w:rPr>
        <w:t xml:space="preserve">= </w:t>
      </w:r>
      <w:r w:rsidRPr="00905CCE">
        <w:rPr>
          <w:rFonts w:cs="Times New Roman"/>
          <w:i/>
          <w:iCs/>
          <w:color w:val="131413"/>
          <w:sz w:val="24"/>
          <w:szCs w:val="24"/>
        </w:rPr>
        <w:t>.</w:t>
      </w:r>
      <w:r w:rsidRPr="00905CCE">
        <w:rPr>
          <w:rFonts w:cs="Times New Roman"/>
          <w:color w:val="131413"/>
          <w:sz w:val="24"/>
          <w:szCs w:val="24"/>
        </w:rPr>
        <w:t>354). We further identify system limitations influencing this result, such as a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lack of diversity, mistrust in healthiness and personalization, real-life contexts, and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personal user characteristics with a qualitative analysis of semi-structured in-depth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interviews. Finally, we discuss general knowledge acquired on the design of personalized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mobile nutrition recommendations by identifying important factors, such as the</w:t>
      </w:r>
      <w:r>
        <w:rPr>
          <w:rFonts w:cs="Times New Roman"/>
          <w:color w:val="131413"/>
          <w:sz w:val="24"/>
          <w:szCs w:val="24"/>
        </w:rPr>
        <w:t xml:space="preserve"> </w:t>
      </w:r>
      <w:r w:rsidRPr="00905CCE">
        <w:rPr>
          <w:rFonts w:cs="Times New Roman"/>
          <w:color w:val="131413"/>
          <w:sz w:val="24"/>
          <w:szCs w:val="24"/>
        </w:rPr>
        <w:t>users’ acceptance of the recommender’s taste, health, and personalization.</w:t>
      </w:r>
    </w:p>
    <w:p w:rsidR="008216B1" w:rsidRPr="008216B1" w:rsidRDefault="008216B1" w:rsidP="00905CCE">
      <w:pPr>
        <w:widowControl/>
        <w:adjustRightInd w:val="0"/>
        <w:spacing w:line="480" w:lineRule="auto"/>
        <w:jc w:val="both"/>
        <w:rPr>
          <w:rFonts w:cs="Times New Roman"/>
          <w:b/>
          <w:color w:val="131413"/>
          <w:sz w:val="24"/>
          <w:szCs w:val="24"/>
        </w:rPr>
      </w:pP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b/>
          <w:bCs/>
          <w:sz w:val="24"/>
          <w:szCs w:val="24"/>
        </w:rPr>
      </w:pPr>
      <w:proofErr w:type="gramStart"/>
      <w:r w:rsidRPr="008216B1">
        <w:rPr>
          <w:rFonts w:cs="Times New Roman"/>
          <w:b/>
          <w:bCs/>
          <w:sz w:val="24"/>
          <w:szCs w:val="24"/>
        </w:rPr>
        <w:t>TITLE ;Personal</w:t>
      </w:r>
      <w:proofErr w:type="gramEnd"/>
      <w:r w:rsidRPr="008216B1">
        <w:rPr>
          <w:rFonts w:cs="Times New Roman"/>
          <w:b/>
          <w:bCs/>
          <w:sz w:val="24"/>
          <w:szCs w:val="24"/>
        </w:rPr>
        <w:t xml:space="preserve"> Health Assistant on Android Mobile Device:</w:t>
      </w: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b/>
          <w:bCs/>
          <w:sz w:val="24"/>
          <w:szCs w:val="24"/>
        </w:rPr>
      </w:pPr>
      <w:r w:rsidRPr="008216B1">
        <w:rPr>
          <w:rFonts w:cs="Times New Roman"/>
          <w:b/>
          <w:bCs/>
          <w:sz w:val="24"/>
          <w:szCs w:val="24"/>
        </w:rPr>
        <w:t>Sleeping, Nutrition and Exercise</w:t>
      </w: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b/>
          <w:bCs/>
          <w:sz w:val="24"/>
          <w:szCs w:val="24"/>
        </w:rPr>
      </w:pP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sz w:val="24"/>
          <w:szCs w:val="24"/>
        </w:rPr>
      </w:pPr>
      <w:proofErr w:type="spellStart"/>
      <w:r w:rsidRPr="008216B1">
        <w:rPr>
          <w:rFonts w:cs="Times New Roman"/>
          <w:sz w:val="24"/>
          <w:szCs w:val="24"/>
        </w:rPr>
        <w:t>Kiatateeti</w:t>
      </w:r>
      <w:proofErr w:type="spellEnd"/>
      <w:r w:rsidRPr="008216B1">
        <w:rPr>
          <w:rFonts w:cs="Times New Roman"/>
          <w:sz w:val="24"/>
          <w:szCs w:val="24"/>
        </w:rPr>
        <w:t xml:space="preserve"> Anusornpakdee1, a,*, </w:t>
      </w:r>
      <w:proofErr w:type="spellStart"/>
      <w:r w:rsidRPr="008216B1">
        <w:rPr>
          <w:rFonts w:cs="Times New Roman"/>
          <w:sz w:val="24"/>
          <w:szCs w:val="24"/>
        </w:rPr>
        <w:t>Matugorn</w:t>
      </w:r>
      <w:proofErr w:type="spellEnd"/>
      <w:r w:rsidRPr="008216B1">
        <w:rPr>
          <w:rFonts w:cs="Times New Roman"/>
          <w:sz w:val="24"/>
          <w:szCs w:val="24"/>
        </w:rPr>
        <w:t xml:space="preserve"> Limpanadusadee1</w:t>
      </w:r>
      <w:proofErr w:type="gramStart"/>
      <w:r w:rsidRPr="008216B1">
        <w:rPr>
          <w:rFonts w:cs="Times New Roman"/>
          <w:sz w:val="24"/>
          <w:szCs w:val="24"/>
        </w:rPr>
        <w:t>,b</w:t>
      </w:r>
      <w:proofErr w:type="gramEnd"/>
      <w:r w:rsidRPr="008216B1">
        <w:rPr>
          <w:rFonts w:cs="Times New Roman"/>
          <w:sz w:val="24"/>
          <w:szCs w:val="24"/>
        </w:rPr>
        <w:t>,</w:t>
      </w: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sz w:val="24"/>
          <w:szCs w:val="24"/>
        </w:rPr>
      </w:pPr>
      <w:proofErr w:type="spellStart"/>
      <w:r w:rsidRPr="008216B1">
        <w:rPr>
          <w:rFonts w:cs="Times New Roman"/>
          <w:sz w:val="24"/>
          <w:szCs w:val="24"/>
        </w:rPr>
        <w:t>Sangsuree</w:t>
      </w:r>
      <w:proofErr w:type="spellEnd"/>
      <w:r w:rsidRPr="008216B1">
        <w:rPr>
          <w:rFonts w:cs="Times New Roman"/>
          <w:sz w:val="24"/>
          <w:szCs w:val="24"/>
        </w:rPr>
        <w:t xml:space="preserve"> Vasupongayya1</w:t>
      </w:r>
      <w:proofErr w:type="gramStart"/>
      <w:r w:rsidRPr="008216B1">
        <w:rPr>
          <w:rFonts w:cs="Times New Roman"/>
          <w:sz w:val="24"/>
          <w:szCs w:val="24"/>
        </w:rPr>
        <w:t>,c</w:t>
      </w:r>
      <w:proofErr w:type="gramEnd"/>
      <w:r w:rsidRPr="008216B1">
        <w:rPr>
          <w:rFonts w:cs="Times New Roman"/>
          <w:sz w:val="24"/>
          <w:szCs w:val="24"/>
        </w:rPr>
        <w:t xml:space="preserve"> and </w:t>
      </w:r>
      <w:proofErr w:type="spellStart"/>
      <w:r w:rsidRPr="008216B1">
        <w:rPr>
          <w:rFonts w:cs="Times New Roman"/>
          <w:sz w:val="24"/>
          <w:szCs w:val="24"/>
        </w:rPr>
        <w:t>Sinchai</w:t>
      </w:r>
      <w:proofErr w:type="spellEnd"/>
      <w:r w:rsidRPr="008216B1">
        <w:rPr>
          <w:rFonts w:cs="Times New Roman"/>
          <w:sz w:val="24"/>
          <w:szCs w:val="24"/>
        </w:rPr>
        <w:t xml:space="preserve"> Kamolphiwong2,d</w:t>
      </w: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sz w:val="24"/>
          <w:szCs w:val="24"/>
        </w:rPr>
      </w:pPr>
      <w:r w:rsidRPr="008216B1">
        <w:rPr>
          <w:rFonts w:cs="Times New Roman"/>
          <w:sz w:val="24"/>
          <w:szCs w:val="24"/>
        </w:rPr>
        <w:t xml:space="preserve">1Department of Computer Engineering, Prince of </w:t>
      </w:r>
      <w:proofErr w:type="spellStart"/>
      <w:r w:rsidRPr="008216B1">
        <w:rPr>
          <w:rFonts w:cs="Times New Roman"/>
          <w:sz w:val="24"/>
          <w:szCs w:val="24"/>
        </w:rPr>
        <w:t>Songkla</w:t>
      </w:r>
      <w:proofErr w:type="spellEnd"/>
      <w:r w:rsidRPr="008216B1">
        <w:rPr>
          <w:rFonts w:cs="Times New Roman"/>
          <w:sz w:val="24"/>
          <w:szCs w:val="24"/>
        </w:rPr>
        <w:t xml:space="preserve"> University, Thailand</w:t>
      </w: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sz w:val="24"/>
          <w:szCs w:val="24"/>
        </w:rPr>
      </w:pPr>
      <w:r w:rsidRPr="008216B1">
        <w:rPr>
          <w:rFonts w:cs="Times New Roman"/>
          <w:sz w:val="24"/>
          <w:szCs w:val="24"/>
        </w:rPr>
        <w:t xml:space="preserve">2Center of Network Research, Prince of </w:t>
      </w:r>
      <w:proofErr w:type="spellStart"/>
      <w:r w:rsidRPr="008216B1">
        <w:rPr>
          <w:rFonts w:cs="Times New Roman"/>
          <w:sz w:val="24"/>
          <w:szCs w:val="24"/>
        </w:rPr>
        <w:t>Songkla</w:t>
      </w:r>
      <w:proofErr w:type="spellEnd"/>
      <w:r w:rsidRPr="008216B1">
        <w:rPr>
          <w:rFonts w:cs="Times New Roman"/>
          <w:sz w:val="24"/>
          <w:szCs w:val="24"/>
        </w:rPr>
        <w:t xml:space="preserve"> University, Thailand</w:t>
      </w:r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sz w:val="24"/>
          <w:szCs w:val="24"/>
        </w:rPr>
      </w:pPr>
      <w:r w:rsidRPr="008216B1">
        <w:rPr>
          <w:rFonts w:cs="Times New Roman"/>
          <w:sz w:val="24"/>
          <w:szCs w:val="24"/>
        </w:rPr>
        <w:t>aum.anusorn@gmail.com, bpapapung999@gmail.coml, cvsangsur@coe.psu.ac.th,</w:t>
      </w:r>
    </w:p>
    <w:p w:rsidR="008216B1" w:rsidRDefault="00143E7E" w:rsidP="008216B1">
      <w:pPr>
        <w:widowControl/>
        <w:adjustRightInd w:val="0"/>
        <w:spacing w:line="360" w:lineRule="auto"/>
        <w:rPr>
          <w:rFonts w:cs="Times New Roman"/>
          <w:sz w:val="24"/>
          <w:szCs w:val="24"/>
        </w:rPr>
      </w:pPr>
      <w:hyperlink r:id="rId4" w:history="1">
        <w:r w:rsidR="008216B1" w:rsidRPr="00E95BB3">
          <w:rPr>
            <w:rStyle w:val="Hyperlink"/>
            <w:rFonts w:cs="Times New Roman"/>
            <w:sz w:val="24"/>
            <w:szCs w:val="24"/>
          </w:rPr>
          <w:t>dksinchai@coe.psu.ac.th</w:t>
        </w:r>
      </w:hyperlink>
    </w:p>
    <w:p w:rsidR="008216B1" w:rsidRPr="008216B1" w:rsidRDefault="008216B1" w:rsidP="008216B1">
      <w:pPr>
        <w:widowControl/>
        <w:adjustRightInd w:val="0"/>
        <w:spacing w:line="360" w:lineRule="auto"/>
        <w:rPr>
          <w:rFonts w:cs="Times New Roman"/>
          <w:sz w:val="24"/>
          <w:szCs w:val="24"/>
        </w:rPr>
      </w:pPr>
    </w:p>
    <w:p w:rsidR="008216B1" w:rsidRDefault="008216B1" w:rsidP="008216B1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8216B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 w:rsidRPr="008216B1">
        <w:rPr>
          <w:rFonts w:cs="Times New Roman"/>
          <w:sz w:val="24"/>
          <w:szCs w:val="24"/>
        </w:rPr>
        <w:t xml:space="preserve">Good health can be achieved by maintaining good behaviors such as a good night </w:t>
      </w:r>
      <w:proofErr w:type="spellStart"/>
      <w:r w:rsidRPr="008216B1">
        <w:rPr>
          <w:rFonts w:cs="Times New Roman"/>
          <w:sz w:val="24"/>
          <w:szCs w:val="24"/>
        </w:rPr>
        <w:t>sleep</w:t>
      </w:r>
      <w:proofErr w:type="gramStart"/>
      <w:r w:rsidRPr="008216B1">
        <w:rPr>
          <w:rFonts w:cs="Times New Roman"/>
          <w:sz w:val="24"/>
          <w:szCs w:val="24"/>
        </w:rPr>
        <w:t>,enough</w:t>
      </w:r>
      <w:proofErr w:type="spellEnd"/>
      <w:proofErr w:type="gramEnd"/>
      <w:r w:rsidRPr="008216B1">
        <w:rPr>
          <w:rFonts w:cs="Times New Roman"/>
          <w:sz w:val="24"/>
          <w:szCs w:val="24"/>
        </w:rPr>
        <w:t xml:space="preserve"> exercise and good nutrition. However, the competitive environment nowadays prevents such</w:t>
      </w:r>
      <w:r w:rsidR="001E23C3">
        <w:rPr>
          <w:rFonts w:cs="Times New Roman"/>
          <w:sz w:val="24"/>
          <w:szCs w:val="24"/>
        </w:rPr>
        <w:t xml:space="preserve"> </w:t>
      </w:r>
      <w:r w:rsidRPr="008216B1">
        <w:rPr>
          <w:rFonts w:cs="Times New Roman"/>
          <w:sz w:val="24"/>
          <w:szCs w:val="24"/>
        </w:rPr>
        <w:t>good behaviors. Thus, this work aims to develop an application on mobile d</w:t>
      </w:r>
      <w:r>
        <w:rPr>
          <w:rFonts w:cs="Times New Roman"/>
          <w:sz w:val="24"/>
          <w:szCs w:val="24"/>
        </w:rPr>
        <w:t xml:space="preserve">evices that is able to </w:t>
      </w:r>
      <w:r w:rsidRPr="008216B1">
        <w:rPr>
          <w:rFonts w:cs="Times New Roman"/>
          <w:sz w:val="24"/>
          <w:szCs w:val="24"/>
        </w:rPr>
        <w:t>record the daily sleeping, exercise and nutrition information, (2) analyze the collected information</w:t>
      </w:r>
      <w:r>
        <w:rPr>
          <w:rFonts w:cs="Times New Roman"/>
          <w:sz w:val="24"/>
          <w:szCs w:val="24"/>
        </w:rPr>
        <w:t xml:space="preserve"> </w:t>
      </w:r>
      <w:r w:rsidRPr="008216B1">
        <w:rPr>
          <w:rFonts w:cs="Times New Roman"/>
          <w:sz w:val="24"/>
          <w:szCs w:val="24"/>
        </w:rPr>
        <w:t>in order to provide a notification or an alarm, and (3) present the a</w:t>
      </w:r>
      <w:r>
        <w:rPr>
          <w:rFonts w:cs="Times New Roman"/>
          <w:sz w:val="24"/>
          <w:szCs w:val="24"/>
        </w:rPr>
        <w:t xml:space="preserve">nalyzed results in a simple and </w:t>
      </w:r>
      <w:r w:rsidRPr="008216B1">
        <w:rPr>
          <w:rFonts w:cs="Times New Roman"/>
          <w:sz w:val="24"/>
          <w:szCs w:val="24"/>
        </w:rPr>
        <w:t xml:space="preserve">easy to understand format. The proposed application can collect </w:t>
      </w:r>
      <w:r>
        <w:rPr>
          <w:rFonts w:cs="Times New Roman"/>
          <w:sz w:val="24"/>
          <w:szCs w:val="24"/>
        </w:rPr>
        <w:t xml:space="preserve">data from other application and </w:t>
      </w:r>
      <w:r w:rsidRPr="008216B1">
        <w:rPr>
          <w:rFonts w:cs="Times New Roman"/>
          <w:sz w:val="24"/>
          <w:szCs w:val="24"/>
        </w:rPr>
        <w:t>from the users. A set of simple data analysis methods is performed on</w:t>
      </w:r>
      <w:r>
        <w:rPr>
          <w:rFonts w:cs="Times New Roman"/>
          <w:sz w:val="24"/>
          <w:szCs w:val="24"/>
        </w:rPr>
        <w:t xml:space="preserve"> the collected data in order to </w:t>
      </w:r>
      <w:r w:rsidRPr="008216B1">
        <w:rPr>
          <w:rFonts w:cs="Times New Roman"/>
          <w:sz w:val="24"/>
          <w:szCs w:val="24"/>
        </w:rPr>
        <w:t>provide a personal health advice based on the user pre-defined preferences.</w:t>
      </w:r>
    </w:p>
    <w:p w:rsidR="008216B1" w:rsidRDefault="008216B1" w:rsidP="008216B1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8216B1" w:rsidRDefault="008216B1" w:rsidP="008216B1">
      <w:pPr>
        <w:widowControl/>
        <w:adjustRightInd w:val="0"/>
        <w:spacing w:line="360" w:lineRule="auto"/>
        <w:ind w:firstLine="720"/>
        <w:jc w:val="both"/>
        <w:rPr>
          <w:rFonts w:ascii="NimbusRomNo9L-Regu" w:hAnsi="NimbusRomNo9L-Regu" w:cs="NimbusRomNo9L-Regu"/>
          <w:sz w:val="24"/>
          <w:szCs w:val="24"/>
        </w:rPr>
      </w:pPr>
      <w:r w:rsidRPr="008216B1">
        <w:rPr>
          <w:rFonts w:cs="Times New Roman"/>
          <w:sz w:val="24"/>
          <w:szCs w:val="24"/>
        </w:rPr>
        <w:t>Better health can be achieved by maintaining a simple lifestyle such as a good night sleep, enough</w:t>
      </w:r>
      <w:r>
        <w:rPr>
          <w:rFonts w:cs="Times New Roman"/>
          <w:sz w:val="24"/>
          <w:szCs w:val="24"/>
        </w:rPr>
        <w:t xml:space="preserve"> </w:t>
      </w:r>
      <w:r w:rsidRPr="008216B1">
        <w:rPr>
          <w:rFonts w:cs="Times New Roman"/>
          <w:sz w:val="24"/>
          <w:szCs w:val="24"/>
        </w:rPr>
        <w:t xml:space="preserve">exercises and good nutrition. People spend one third of their lives sleeping </w:t>
      </w:r>
      <w:r w:rsidRPr="008216B1">
        <w:rPr>
          <w:rFonts w:cs="Times New Roman"/>
          <w:sz w:val="24"/>
          <w:szCs w:val="24"/>
        </w:rPr>
        <w:lastRenderedPageBreak/>
        <w:t>however most people do</w:t>
      </w:r>
      <w:r>
        <w:rPr>
          <w:rFonts w:cs="Times New Roman"/>
          <w:sz w:val="24"/>
          <w:szCs w:val="24"/>
        </w:rPr>
        <w:t xml:space="preserve"> </w:t>
      </w:r>
      <w:r w:rsidRPr="008216B1">
        <w:rPr>
          <w:rFonts w:cs="Times New Roman"/>
          <w:sz w:val="24"/>
          <w:szCs w:val="24"/>
        </w:rPr>
        <w:t>not understand the importance of sleep. Moreover, the lack of sleep can affect a person’s memory</w:t>
      </w:r>
      <w:r>
        <w:rPr>
          <w:rFonts w:cs="Times New Roman"/>
          <w:sz w:val="24"/>
          <w:szCs w:val="24"/>
        </w:rPr>
        <w:t xml:space="preserve"> </w:t>
      </w:r>
      <w:r w:rsidRPr="008216B1">
        <w:rPr>
          <w:rFonts w:cs="Times New Roman"/>
          <w:sz w:val="24"/>
          <w:szCs w:val="24"/>
        </w:rPr>
        <w:t>and emotion. The exercise habit and nutrition can also lead to good health. Daily working life can</w:t>
      </w:r>
      <w:r>
        <w:rPr>
          <w:rFonts w:cs="Times New Roman"/>
          <w:sz w:val="24"/>
          <w:szCs w:val="24"/>
        </w:rPr>
        <w:t xml:space="preserve"> </w:t>
      </w:r>
      <w:r w:rsidRPr="008216B1">
        <w:rPr>
          <w:rFonts w:cs="Times New Roman"/>
          <w:sz w:val="24"/>
          <w:szCs w:val="24"/>
        </w:rPr>
        <w:t>be affected by lack of sleep such as drowsiness and</w:t>
      </w:r>
      <w:r>
        <w:rPr>
          <w:rFonts w:cs="Times New Roman"/>
          <w:sz w:val="24"/>
          <w:szCs w:val="24"/>
        </w:rPr>
        <w:t xml:space="preserve"> long-term health </w:t>
      </w:r>
      <w:proofErr w:type="gramStart"/>
      <w:r>
        <w:rPr>
          <w:rFonts w:cs="Times New Roman"/>
          <w:sz w:val="24"/>
          <w:szCs w:val="24"/>
        </w:rPr>
        <w:t xml:space="preserve">problems </w:t>
      </w:r>
      <w:r w:rsidRPr="008216B1">
        <w:rPr>
          <w:rFonts w:cs="Times New Roman"/>
          <w:sz w:val="24"/>
          <w:szCs w:val="24"/>
        </w:rPr>
        <w:t>.</w:t>
      </w:r>
      <w:proofErr w:type="gramEnd"/>
      <w:r w:rsidRPr="008216B1">
        <w:rPr>
          <w:rFonts w:cs="Times New Roman"/>
          <w:sz w:val="24"/>
          <w:szCs w:val="24"/>
        </w:rPr>
        <w:t xml:space="preserve"> Many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8216B1">
        <w:rPr>
          <w:rFonts w:cs="Times New Roman"/>
          <w:sz w:val="24"/>
          <w:szCs w:val="24"/>
        </w:rPr>
        <w:t>researches</w:t>
      </w:r>
      <w:proofErr w:type="spellEnd"/>
      <w:r w:rsidRPr="008216B1">
        <w:rPr>
          <w:rFonts w:cs="Times New Roman"/>
          <w:sz w:val="24"/>
          <w:szCs w:val="24"/>
        </w:rPr>
        <w:t xml:space="preserve"> have shown that not enough sleep or exercise can lead to many health problems such as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GERD, Alzheimer’s disease,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hearth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disease, sleep apnea and insomnia.</w:t>
      </w:r>
    </w:p>
    <w:p w:rsidR="008216B1" w:rsidRDefault="008216B1" w:rsidP="008216B1">
      <w:pPr>
        <w:widowControl/>
        <w:adjustRightInd w:val="0"/>
        <w:spacing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8216B1" w:rsidRDefault="008216B1" w:rsidP="008216B1">
      <w:pPr>
        <w:widowControl/>
        <w:adjustRightInd w:val="0"/>
        <w:spacing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E1456C" w:rsidRPr="00E1456C" w:rsidRDefault="008216B1" w:rsidP="00E1456C">
      <w:pPr>
        <w:widowControl/>
        <w:adjustRightInd w:val="0"/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E1456C">
        <w:rPr>
          <w:rFonts w:cs="Times New Roman"/>
          <w:sz w:val="24"/>
          <w:szCs w:val="24"/>
        </w:rPr>
        <w:t>TITLE:</w:t>
      </w:r>
      <w:r w:rsidR="00E1456C" w:rsidRPr="00E1456C">
        <w:rPr>
          <w:rFonts w:cs="Times New Roman"/>
          <w:b/>
          <w:bCs/>
          <w:sz w:val="24"/>
          <w:szCs w:val="24"/>
        </w:rPr>
        <w:t xml:space="preserve"> Barriers and Enablers to Delegating Malnutrition Care Activities </w:t>
      </w:r>
      <w:proofErr w:type="gramStart"/>
      <w:r w:rsidR="00E1456C" w:rsidRPr="00E1456C">
        <w:rPr>
          <w:rFonts w:cs="Times New Roman"/>
          <w:b/>
          <w:bCs/>
          <w:sz w:val="24"/>
          <w:szCs w:val="24"/>
        </w:rPr>
        <w:t>to  Dietitian</w:t>
      </w:r>
      <w:proofErr w:type="gramEnd"/>
      <w:r w:rsidR="00E1456C" w:rsidRPr="00E1456C">
        <w:rPr>
          <w:rFonts w:cs="Times New Roman"/>
          <w:b/>
          <w:bCs/>
          <w:sz w:val="24"/>
          <w:szCs w:val="24"/>
        </w:rPr>
        <w:t xml:space="preserve"> Assistants</w:t>
      </w:r>
    </w:p>
    <w:p w:rsidR="00E1456C" w:rsidRP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b/>
          <w:bCs/>
          <w:sz w:val="24"/>
          <w:szCs w:val="24"/>
        </w:rPr>
      </w:pPr>
    </w:p>
    <w:p w:rsidR="001E23C3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E1456C">
        <w:rPr>
          <w:rFonts w:cs="Times New Roman"/>
          <w:b/>
          <w:bCs/>
          <w:sz w:val="24"/>
          <w:szCs w:val="24"/>
        </w:rPr>
        <w:t>Alita</w:t>
      </w:r>
      <w:proofErr w:type="spellEnd"/>
      <w:r w:rsidRPr="00E1456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E1456C">
        <w:rPr>
          <w:rFonts w:cs="Times New Roman"/>
          <w:b/>
          <w:bCs/>
          <w:sz w:val="24"/>
          <w:szCs w:val="24"/>
        </w:rPr>
        <w:t>Rushton</w:t>
      </w:r>
      <w:proofErr w:type="spellEnd"/>
      <w:r w:rsidRPr="00E1456C">
        <w:rPr>
          <w:rFonts w:cs="Times New Roman"/>
          <w:b/>
          <w:bCs/>
          <w:sz w:val="24"/>
          <w:szCs w:val="24"/>
        </w:rPr>
        <w:t xml:space="preserve"> 1</w:t>
      </w:r>
      <w:proofErr w:type="gramStart"/>
      <w:r w:rsidRPr="00E1456C">
        <w:rPr>
          <w:rFonts w:cs="Times New Roman"/>
          <w:b/>
          <w:bCs/>
          <w:sz w:val="24"/>
          <w:szCs w:val="24"/>
        </w:rPr>
        <w:t>,2</w:t>
      </w:r>
      <w:proofErr w:type="gramEnd"/>
      <w:r w:rsidRPr="00E1456C">
        <w:rPr>
          <w:rFonts w:cs="Times New Roman"/>
          <w:b/>
          <w:bCs/>
          <w:sz w:val="24"/>
          <w:szCs w:val="24"/>
        </w:rPr>
        <w:t xml:space="preserve"> , Judith Bauer 2,3 , Adrienne Young 4,5 , Heather Keller 6 and</w:t>
      </w:r>
    </w:p>
    <w:p w:rsidR="00E1456C" w:rsidRDefault="001E23C3" w:rsidP="00E1456C">
      <w:pPr>
        <w:widowControl/>
        <w:adjustRightInd w:val="0"/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Jack Bell 2</w:t>
      </w:r>
      <w:proofErr w:type="gramStart"/>
      <w:r>
        <w:rPr>
          <w:rFonts w:cs="Times New Roman"/>
          <w:b/>
          <w:bCs/>
          <w:sz w:val="24"/>
          <w:szCs w:val="24"/>
        </w:rPr>
        <w:t>,7</w:t>
      </w:r>
      <w:proofErr w:type="gramEnd"/>
    </w:p>
    <w:p w:rsidR="00E1456C" w:rsidRP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b/>
          <w:bCs/>
          <w:sz w:val="24"/>
          <w:szCs w:val="24"/>
        </w:rPr>
      </w:pP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 xml:space="preserve">1 Department of Nutrition and Dietetics, </w:t>
      </w:r>
      <w:proofErr w:type="gramStart"/>
      <w:r w:rsidRPr="00E1456C">
        <w:rPr>
          <w:rFonts w:cs="Times New Roman"/>
          <w:sz w:val="24"/>
          <w:szCs w:val="24"/>
        </w:rPr>
        <w:t>The</w:t>
      </w:r>
      <w:proofErr w:type="gramEnd"/>
      <w:r w:rsidRPr="00E1456C">
        <w:rPr>
          <w:rFonts w:cs="Times New Roman"/>
          <w:sz w:val="24"/>
          <w:szCs w:val="24"/>
        </w:rPr>
        <w:t xml:space="preserve"> Prince Charles Hospital, </w:t>
      </w:r>
      <w:proofErr w:type="spellStart"/>
      <w:r w:rsidRPr="00E1456C">
        <w:rPr>
          <w:rFonts w:cs="Times New Roman"/>
          <w:sz w:val="24"/>
          <w:szCs w:val="24"/>
        </w:rPr>
        <w:t>Chermside</w:t>
      </w:r>
      <w:proofErr w:type="spellEnd"/>
      <w:r w:rsidRPr="00E1456C">
        <w:rPr>
          <w:rFonts w:cs="Times New Roman"/>
          <w:sz w:val="24"/>
          <w:szCs w:val="24"/>
        </w:rPr>
        <w:t xml:space="preserve">, QLD 4032, </w:t>
      </w:r>
      <w:proofErr w:type="spellStart"/>
      <w:r w:rsidRPr="00E1456C">
        <w:rPr>
          <w:rFonts w:cs="Times New Roman"/>
          <w:sz w:val="24"/>
          <w:szCs w:val="24"/>
        </w:rPr>
        <w:t>Australia;alita.rushton@health.qld.gov.au</w:t>
      </w:r>
      <w:proofErr w:type="spellEnd"/>
    </w:p>
    <w:p w:rsidR="001E23C3" w:rsidRPr="00E1456C" w:rsidRDefault="001E23C3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P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 xml:space="preserve">2 </w:t>
      </w:r>
      <w:proofErr w:type="gramStart"/>
      <w:r w:rsidRPr="00E1456C">
        <w:rPr>
          <w:rFonts w:cs="Times New Roman"/>
          <w:sz w:val="24"/>
          <w:szCs w:val="24"/>
        </w:rPr>
        <w:t>School</w:t>
      </w:r>
      <w:proofErr w:type="gramEnd"/>
      <w:r w:rsidRPr="00E1456C">
        <w:rPr>
          <w:rFonts w:cs="Times New Roman"/>
          <w:sz w:val="24"/>
          <w:szCs w:val="24"/>
        </w:rPr>
        <w:t xml:space="preserve"> of Human Movement and Nutrition Sciences, The University of Queensland,</w:t>
      </w: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 xml:space="preserve">St. Lucia, QLD 4072, Australia; </w:t>
      </w:r>
      <w:hyperlink r:id="rId5" w:history="1">
        <w:r w:rsidR="001E23C3" w:rsidRPr="00305D8F">
          <w:rPr>
            <w:rStyle w:val="Hyperlink"/>
            <w:rFonts w:cs="Times New Roman"/>
            <w:sz w:val="24"/>
            <w:szCs w:val="24"/>
          </w:rPr>
          <w:t>j.bauer1@uq.edu.au</w:t>
        </w:r>
      </w:hyperlink>
    </w:p>
    <w:p w:rsidR="001E23C3" w:rsidRPr="00E1456C" w:rsidRDefault="001E23C3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P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 xml:space="preserve">3 </w:t>
      </w:r>
      <w:proofErr w:type="gramStart"/>
      <w:r w:rsidRPr="00E1456C">
        <w:rPr>
          <w:rFonts w:cs="Times New Roman"/>
          <w:sz w:val="24"/>
          <w:szCs w:val="24"/>
        </w:rPr>
        <w:t>Department</w:t>
      </w:r>
      <w:proofErr w:type="gramEnd"/>
      <w:r w:rsidRPr="00E1456C">
        <w:rPr>
          <w:rFonts w:cs="Times New Roman"/>
          <w:sz w:val="24"/>
          <w:szCs w:val="24"/>
        </w:rPr>
        <w:t xml:space="preserve"> of Nutrition, Dietetics &amp; Food, School of Clinical Sciences, </w:t>
      </w:r>
      <w:proofErr w:type="spellStart"/>
      <w:r w:rsidRPr="00E1456C">
        <w:rPr>
          <w:rFonts w:cs="Times New Roman"/>
          <w:sz w:val="24"/>
          <w:szCs w:val="24"/>
        </w:rPr>
        <w:t>Monash</w:t>
      </w:r>
      <w:proofErr w:type="spellEnd"/>
      <w:r w:rsidRPr="00E1456C">
        <w:rPr>
          <w:rFonts w:cs="Times New Roman"/>
          <w:sz w:val="24"/>
          <w:szCs w:val="24"/>
        </w:rPr>
        <w:t xml:space="preserve"> University,</w:t>
      </w: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E1456C">
        <w:rPr>
          <w:rFonts w:cs="Times New Roman"/>
          <w:sz w:val="24"/>
          <w:szCs w:val="24"/>
        </w:rPr>
        <w:t>Notting</w:t>
      </w:r>
      <w:proofErr w:type="spellEnd"/>
      <w:r w:rsidRPr="00E1456C">
        <w:rPr>
          <w:rFonts w:cs="Times New Roman"/>
          <w:sz w:val="24"/>
          <w:szCs w:val="24"/>
        </w:rPr>
        <w:t xml:space="preserve"> Hill, VIC 3168, Australia</w:t>
      </w:r>
    </w:p>
    <w:p w:rsidR="001E23C3" w:rsidRPr="00E1456C" w:rsidRDefault="001E23C3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 xml:space="preserve">4 Royal Brisbane Women’s Hospital, Department of Nutrition and Dietetics, </w:t>
      </w:r>
      <w:proofErr w:type="spellStart"/>
      <w:r w:rsidRPr="00E1456C">
        <w:rPr>
          <w:rFonts w:cs="Times New Roman"/>
          <w:sz w:val="24"/>
          <w:szCs w:val="24"/>
        </w:rPr>
        <w:t>Herston</w:t>
      </w:r>
      <w:proofErr w:type="spellEnd"/>
      <w:r w:rsidRPr="00E1456C">
        <w:rPr>
          <w:rFonts w:cs="Times New Roman"/>
          <w:sz w:val="24"/>
          <w:szCs w:val="24"/>
        </w:rPr>
        <w:t xml:space="preserve">, QLD 4029, </w:t>
      </w:r>
      <w:proofErr w:type="spellStart"/>
      <w:r w:rsidRPr="00E1456C">
        <w:rPr>
          <w:rFonts w:cs="Times New Roman"/>
          <w:sz w:val="24"/>
          <w:szCs w:val="24"/>
        </w:rPr>
        <w:t>Australia;adrienne.young@health.qld.gov.au</w:t>
      </w:r>
      <w:proofErr w:type="spellEnd"/>
    </w:p>
    <w:p w:rsidR="001E23C3" w:rsidRPr="00E1456C" w:rsidRDefault="001E23C3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 xml:space="preserve">5 </w:t>
      </w:r>
      <w:proofErr w:type="gramStart"/>
      <w:r w:rsidRPr="00E1456C">
        <w:rPr>
          <w:rFonts w:cs="Times New Roman"/>
          <w:sz w:val="24"/>
          <w:szCs w:val="24"/>
        </w:rPr>
        <w:t>Centre</w:t>
      </w:r>
      <w:proofErr w:type="gramEnd"/>
      <w:r w:rsidRPr="00E1456C">
        <w:rPr>
          <w:rFonts w:cs="Times New Roman"/>
          <w:sz w:val="24"/>
          <w:szCs w:val="24"/>
        </w:rPr>
        <w:t xml:space="preserve"> of Health Services Research, The University of Queensland, </w:t>
      </w:r>
      <w:proofErr w:type="spellStart"/>
      <w:r w:rsidRPr="00E1456C">
        <w:rPr>
          <w:rFonts w:cs="Times New Roman"/>
          <w:sz w:val="24"/>
          <w:szCs w:val="24"/>
        </w:rPr>
        <w:t>Herston</w:t>
      </w:r>
      <w:proofErr w:type="spellEnd"/>
      <w:r w:rsidRPr="00E1456C">
        <w:rPr>
          <w:rFonts w:cs="Times New Roman"/>
          <w:sz w:val="24"/>
          <w:szCs w:val="24"/>
        </w:rPr>
        <w:t>, QLD 4029, Australia</w:t>
      </w:r>
    </w:p>
    <w:p w:rsidR="001E23C3" w:rsidRPr="00E1456C" w:rsidRDefault="001E23C3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P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>6 Schlegel-UW Research Institute for Aging, Waterloo, ON N2L 3G1, Canada; hkeller@uwaterloo.ca</w:t>
      </w: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E1456C">
        <w:rPr>
          <w:rFonts w:cs="Times New Roman"/>
          <w:sz w:val="24"/>
          <w:szCs w:val="24"/>
        </w:rPr>
        <w:t xml:space="preserve">7 The Prince Charles Hospital, Allied Health, </w:t>
      </w:r>
      <w:proofErr w:type="spellStart"/>
      <w:r w:rsidRPr="00E1456C">
        <w:rPr>
          <w:rFonts w:cs="Times New Roman"/>
          <w:sz w:val="24"/>
          <w:szCs w:val="24"/>
        </w:rPr>
        <w:t>Chermside</w:t>
      </w:r>
      <w:proofErr w:type="spellEnd"/>
      <w:r w:rsidRPr="00E1456C">
        <w:rPr>
          <w:rFonts w:cs="Times New Roman"/>
          <w:sz w:val="24"/>
          <w:szCs w:val="24"/>
        </w:rPr>
        <w:t>, QLD 4032, Australia</w:t>
      </w: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P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8216B1" w:rsidRDefault="00E1456C" w:rsidP="00E1456C">
      <w:pPr>
        <w:widowControl/>
        <w:adjustRightInd w:val="0"/>
        <w:spacing w:line="360" w:lineRule="auto"/>
        <w:ind w:firstLine="720"/>
        <w:jc w:val="both"/>
        <w:rPr>
          <w:rFonts w:cs="Times New Roman"/>
          <w:sz w:val="24"/>
          <w:szCs w:val="24"/>
        </w:rPr>
      </w:pPr>
      <w:proofErr w:type="gramStart"/>
      <w:r w:rsidRPr="00E1456C">
        <w:rPr>
          <w:rFonts w:cs="Times New Roman"/>
          <w:sz w:val="24"/>
          <w:szCs w:val="24"/>
        </w:rPr>
        <w:t>healthcare</w:t>
      </w:r>
      <w:proofErr w:type="gramEnd"/>
      <w:r w:rsidRPr="00E1456C">
        <w:rPr>
          <w:rFonts w:cs="Times New Roman"/>
          <w:sz w:val="24"/>
          <w:szCs w:val="24"/>
        </w:rPr>
        <w:t xml:space="preserve">, and workforce outcomes. However, nutrition care for hospital </w:t>
      </w:r>
      <w:proofErr w:type="spellStart"/>
      <w:r w:rsidRPr="00E1456C">
        <w:rPr>
          <w:rFonts w:cs="Times New Roman"/>
          <w:sz w:val="24"/>
          <w:szCs w:val="24"/>
        </w:rPr>
        <w:t>inpatients</w:t>
      </w:r>
      <w:proofErr w:type="spellEnd"/>
      <w:r w:rsidRPr="00E1456C">
        <w:rPr>
          <w:rFonts w:cs="Times New Roman"/>
          <w:sz w:val="24"/>
          <w:szCs w:val="24"/>
        </w:rPr>
        <w:t xml:space="preserve"> with or at risk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of malnutrition remains primarily individually delivered by dietitians—an approach that is not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considered sustainable. This study aimed to identify barriers and enablers to delegating malnutrition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care activities to dietitian assistants. This qualitative descriptive study was nested within a broader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 xml:space="preserve">quality assurance activity to scale and spread </w:t>
      </w:r>
      <w:proofErr w:type="spellStart"/>
      <w:r w:rsidRPr="00E1456C">
        <w:rPr>
          <w:rFonts w:cs="Times New Roman"/>
          <w:sz w:val="24"/>
          <w:szCs w:val="24"/>
        </w:rPr>
        <w:t>systematised</w:t>
      </w:r>
      <w:proofErr w:type="spellEnd"/>
      <w:r w:rsidRPr="00E1456C">
        <w:rPr>
          <w:rFonts w:cs="Times New Roman"/>
          <w:sz w:val="24"/>
          <w:szCs w:val="24"/>
        </w:rPr>
        <w:t xml:space="preserve"> and interdisciplinary malnutrition models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of care. Twenty-three individual semi-structured interviews were completed with nutrition and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dietetic team members across seven hospitals. Inductive thematic analysis was undertaken, and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barriers and enablers to delegation of malnutrition care to dietitian assistants were grouped into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four themes: working with the human factors; balancing value and risk of delegation; creating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competence, capability, and capacity; and recognizing contextual factors. This study highlights novel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insights into barriers and enablers to delegating malnutrition care to dietitian assistants. Successful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delegation to dietitian assistants requires the unique perspectives of humans as individuals and in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their collective healthcare roles, moving from words to actions that value delegation; engaging in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processes to improve competency, capability, and capacity of all; and being responsive to climate and</w:t>
      </w:r>
      <w:r>
        <w:rPr>
          <w:rFonts w:cs="Times New Roman"/>
          <w:sz w:val="24"/>
          <w:szCs w:val="24"/>
        </w:rPr>
        <w:t xml:space="preserve"> </w:t>
      </w:r>
      <w:r w:rsidRPr="00E1456C">
        <w:rPr>
          <w:rFonts w:cs="Times New Roman"/>
          <w:sz w:val="24"/>
          <w:szCs w:val="24"/>
        </w:rPr>
        <w:t>contextual factors.</w:t>
      </w: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Default="00E1456C" w:rsidP="00E1456C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E1456C" w:rsidRPr="0041615F" w:rsidRDefault="00E1456C" w:rsidP="0041615F">
      <w:pPr>
        <w:widowControl/>
        <w:adjustRightInd w:val="0"/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 w:rsidRPr="0041615F">
        <w:rPr>
          <w:rFonts w:cs="Times New Roman"/>
          <w:sz w:val="24"/>
          <w:szCs w:val="24"/>
        </w:rPr>
        <w:t>TITLE:</w:t>
      </w:r>
      <w:r w:rsidR="0041615F" w:rsidRPr="0041615F">
        <w:rPr>
          <w:rFonts w:cs="Times New Roman"/>
          <w:b/>
          <w:bCs/>
          <w:sz w:val="24"/>
          <w:szCs w:val="24"/>
        </w:rPr>
        <w:t xml:space="preserve"> Design of a prospective, randomized evaluation of an integrated nutrition program in rural Viet Nam*</w:t>
      </w: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b/>
          <w:bCs/>
          <w:sz w:val="24"/>
          <w:szCs w:val="24"/>
        </w:rPr>
      </w:pP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41615F">
        <w:rPr>
          <w:rFonts w:cs="Times New Roman"/>
          <w:sz w:val="24"/>
          <w:szCs w:val="24"/>
        </w:rPr>
        <w:t xml:space="preserve">David R. Marsh, Helena </w:t>
      </w:r>
      <w:proofErr w:type="spellStart"/>
      <w:r w:rsidRPr="0041615F">
        <w:rPr>
          <w:rFonts w:cs="Times New Roman"/>
          <w:sz w:val="24"/>
          <w:szCs w:val="24"/>
        </w:rPr>
        <w:t>Pachón</w:t>
      </w:r>
      <w:proofErr w:type="spellEnd"/>
      <w:r w:rsidRPr="0041615F">
        <w:rPr>
          <w:rFonts w:cs="Times New Roman"/>
          <w:sz w:val="24"/>
          <w:szCs w:val="24"/>
        </w:rPr>
        <w:t xml:space="preserve">, Dirk G. Schroeder, Tran Thu Ha, Kirk </w:t>
      </w:r>
      <w:proofErr w:type="spellStart"/>
      <w:r w:rsidRPr="0041615F">
        <w:rPr>
          <w:rFonts w:cs="Times New Roman"/>
          <w:sz w:val="24"/>
          <w:szCs w:val="24"/>
        </w:rPr>
        <w:t>Dearden</w:t>
      </w:r>
      <w:proofErr w:type="spellEnd"/>
      <w:r w:rsidRPr="0041615F">
        <w:rPr>
          <w:rFonts w:cs="Times New Roman"/>
          <w:sz w:val="24"/>
          <w:szCs w:val="24"/>
        </w:rPr>
        <w:t xml:space="preserve">, Tran </w:t>
      </w:r>
      <w:proofErr w:type="spellStart"/>
      <w:r w:rsidRPr="0041615F">
        <w:rPr>
          <w:rFonts w:cs="Times New Roman"/>
          <w:sz w:val="24"/>
          <w:szCs w:val="24"/>
        </w:rPr>
        <w:t>Thi</w:t>
      </w:r>
      <w:proofErr w:type="spellEnd"/>
      <w:r w:rsidRPr="0041615F">
        <w:rPr>
          <w:rFonts w:cs="Times New Roman"/>
          <w:sz w:val="24"/>
          <w:szCs w:val="24"/>
        </w:rPr>
        <w:t xml:space="preserve"> Lang, Nguyen </w:t>
      </w:r>
      <w:proofErr w:type="spellStart"/>
      <w:r w:rsidRPr="0041615F">
        <w:rPr>
          <w:rFonts w:cs="Times New Roman"/>
          <w:sz w:val="24"/>
          <w:szCs w:val="24"/>
        </w:rPr>
        <w:t>Dhanh</w:t>
      </w:r>
      <w:proofErr w:type="spellEnd"/>
      <w:r w:rsidRPr="0041615F">
        <w:rPr>
          <w:rFonts w:cs="Times New Roman"/>
          <w:sz w:val="24"/>
          <w:szCs w:val="24"/>
        </w:rPr>
        <w:t xml:space="preserve"> </w:t>
      </w:r>
      <w:proofErr w:type="spellStart"/>
      <w:r w:rsidRPr="0041615F">
        <w:rPr>
          <w:rFonts w:cs="Times New Roman"/>
          <w:sz w:val="24"/>
          <w:szCs w:val="24"/>
        </w:rPr>
        <w:t>Hien</w:t>
      </w:r>
      <w:proofErr w:type="spellEnd"/>
      <w:r w:rsidRPr="0041615F">
        <w:rPr>
          <w:rFonts w:cs="Times New Roman"/>
          <w:sz w:val="24"/>
          <w:szCs w:val="24"/>
        </w:rPr>
        <w:t xml:space="preserve">, Doan </w:t>
      </w:r>
      <w:proofErr w:type="spellStart"/>
      <w:r w:rsidRPr="0041615F">
        <w:rPr>
          <w:rFonts w:cs="Times New Roman"/>
          <w:sz w:val="24"/>
          <w:szCs w:val="24"/>
        </w:rPr>
        <w:t>Anh</w:t>
      </w:r>
      <w:proofErr w:type="spellEnd"/>
      <w:r w:rsidRPr="0041615F">
        <w:rPr>
          <w:rFonts w:cs="Times New Roman"/>
          <w:sz w:val="24"/>
          <w:szCs w:val="24"/>
        </w:rPr>
        <w:t xml:space="preserve"> Tuan, Tran </w:t>
      </w:r>
      <w:proofErr w:type="spellStart"/>
      <w:r w:rsidRPr="0041615F">
        <w:rPr>
          <w:rFonts w:cs="Times New Roman"/>
          <w:sz w:val="24"/>
          <w:szCs w:val="24"/>
        </w:rPr>
        <w:t>Duc</w:t>
      </w:r>
      <w:proofErr w:type="spellEnd"/>
      <w:r w:rsidRPr="0041615F">
        <w:rPr>
          <w:rFonts w:cs="Times New Roman"/>
          <w:sz w:val="24"/>
          <w:szCs w:val="24"/>
        </w:rPr>
        <w:t xml:space="preserve"> </w:t>
      </w:r>
      <w:proofErr w:type="spellStart"/>
      <w:r w:rsidRPr="0041615F">
        <w:rPr>
          <w:rFonts w:cs="Times New Roman"/>
          <w:sz w:val="24"/>
          <w:szCs w:val="24"/>
        </w:rPr>
        <w:t>Thach</w:t>
      </w:r>
      <w:proofErr w:type="spellEnd"/>
      <w:r w:rsidRPr="0041615F">
        <w:rPr>
          <w:rFonts w:cs="Times New Roman"/>
          <w:sz w:val="24"/>
          <w:szCs w:val="24"/>
        </w:rPr>
        <w:t xml:space="preserve">, and David </w:t>
      </w:r>
      <w:proofErr w:type="spellStart"/>
      <w:r w:rsidRPr="0041615F">
        <w:rPr>
          <w:rFonts w:cs="Times New Roman"/>
          <w:sz w:val="24"/>
          <w:szCs w:val="24"/>
        </w:rPr>
        <w:t>Claussenius</w:t>
      </w:r>
      <w:proofErr w:type="spellEnd"/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41615F" w:rsidRPr="0041615F" w:rsidRDefault="0041615F" w:rsidP="00BF4B15">
      <w:pPr>
        <w:widowControl/>
        <w:adjustRightInd w:val="0"/>
        <w:spacing w:line="360" w:lineRule="auto"/>
        <w:ind w:firstLine="720"/>
        <w:jc w:val="both"/>
        <w:rPr>
          <w:rFonts w:cs="Times New Roman"/>
          <w:sz w:val="24"/>
          <w:szCs w:val="24"/>
        </w:rPr>
      </w:pPr>
      <w:r w:rsidRPr="0041615F">
        <w:rPr>
          <w:rFonts w:cs="Times New Roman"/>
          <w:sz w:val="24"/>
          <w:szCs w:val="24"/>
        </w:rPr>
        <w:t xml:space="preserve">David R. Marsh is affiliated with Save the Children Federation/US in Westport, Conn., USA. Helena </w:t>
      </w:r>
      <w:proofErr w:type="spellStart"/>
      <w:r w:rsidRPr="0041615F">
        <w:rPr>
          <w:rFonts w:cs="Times New Roman"/>
          <w:sz w:val="24"/>
          <w:szCs w:val="24"/>
        </w:rPr>
        <w:t>Pachón</w:t>
      </w:r>
      <w:proofErr w:type="gramStart"/>
      <w:r w:rsidRPr="0041615F">
        <w:rPr>
          <w:rFonts w:cs="Times New Roman"/>
          <w:sz w:val="24"/>
          <w:szCs w:val="24"/>
        </w:rPr>
        <w:t>,formerly</w:t>
      </w:r>
      <w:proofErr w:type="spellEnd"/>
      <w:proofErr w:type="gramEnd"/>
      <w:r w:rsidRPr="0041615F">
        <w:rPr>
          <w:rFonts w:cs="Times New Roman"/>
          <w:sz w:val="24"/>
          <w:szCs w:val="24"/>
        </w:rPr>
        <w:t xml:space="preserve"> at the Rollins School of Public Health, Emory University in Atlanta, Ga., USA, is now affiliated with the Division of Nutritional Sciences at Cornell University in Ithaca, </w:t>
      </w:r>
      <w:proofErr w:type="spellStart"/>
      <w:r w:rsidRPr="0041615F">
        <w:rPr>
          <w:rFonts w:cs="Times New Roman"/>
          <w:sz w:val="24"/>
          <w:szCs w:val="24"/>
        </w:rPr>
        <w:t>NewYork</w:t>
      </w:r>
      <w:proofErr w:type="spellEnd"/>
      <w:r w:rsidRPr="0041615F">
        <w:rPr>
          <w:rFonts w:cs="Times New Roman"/>
          <w:sz w:val="24"/>
          <w:szCs w:val="24"/>
        </w:rPr>
        <w:t xml:space="preserve">. Dirk G. Schroeder is affiliated with the Rollins School of Public Health at Emory University in Atlanta, Ga., USA. </w:t>
      </w:r>
      <w:proofErr w:type="spellStart"/>
      <w:r w:rsidRPr="0041615F">
        <w:rPr>
          <w:rFonts w:cs="Times New Roman"/>
          <w:sz w:val="24"/>
          <w:szCs w:val="24"/>
        </w:rPr>
        <w:t>TranThu</w:t>
      </w:r>
      <w:proofErr w:type="spellEnd"/>
      <w:r w:rsidRPr="0041615F">
        <w:rPr>
          <w:rFonts w:cs="Times New Roman"/>
          <w:sz w:val="24"/>
          <w:szCs w:val="24"/>
        </w:rPr>
        <w:t xml:space="preserve"> Ha and Tran </w:t>
      </w:r>
      <w:proofErr w:type="spellStart"/>
      <w:r w:rsidRPr="0041615F">
        <w:rPr>
          <w:rFonts w:cs="Times New Roman"/>
          <w:sz w:val="24"/>
          <w:szCs w:val="24"/>
        </w:rPr>
        <w:t>Duc</w:t>
      </w:r>
      <w:proofErr w:type="spellEnd"/>
      <w:r w:rsidRPr="0041615F">
        <w:rPr>
          <w:rFonts w:cs="Times New Roman"/>
          <w:sz w:val="24"/>
          <w:szCs w:val="24"/>
        </w:rPr>
        <w:t xml:space="preserve"> </w:t>
      </w:r>
      <w:proofErr w:type="spellStart"/>
      <w:r w:rsidRPr="0041615F">
        <w:rPr>
          <w:rFonts w:cs="Times New Roman"/>
          <w:sz w:val="24"/>
          <w:szCs w:val="24"/>
        </w:rPr>
        <w:t>Thach</w:t>
      </w:r>
      <w:proofErr w:type="spellEnd"/>
      <w:r w:rsidRPr="0041615F">
        <w:rPr>
          <w:rFonts w:cs="Times New Roman"/>
          <w:sz w:val="24"/>
          <w:szCs w:val="24"/>
        </w:rPr>
        <w:t xml:space="preserve"> are affiliated with the Hanoi Research and Training Centre for Community Development in Hanoi, Viet Nam. Kirk </w:t>
      </w:r>
      <w:proofErr w:type="spellStart"/>
      <w:r w:rsidRPr="0041615F">
        <w:rPr>
          <w:rFonts w:cs="Times New Roman"/>
          <w:sz w:val="24"/>
          <w:szCs w:val="24"/>
        </w:rPr>
        <w:t>Dearden</w:t>
      </w:r>
      <w:proofErr w:type="spellEnd"/>
      <w:r w:rsidRPr="0041615F">
        <w:rPr>
          <w:rFonts w:cs="Times New Roman"/>
          <w:sz w:val="24"/>
          <w:szCs w:val="24"/>
        </w:rPr>
        <w:t>, formerly at the LINKAGES Project, Academy for Educational Development in</w:t>
      </w: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41615F">
        <w:rPr>
          <w:rFonts w:cs="Times New Roman"/>
          <w:sz w:val="24"/>
          <w:szCs w:val="24"/>
        </w:rPr>
        <w:t xml:space="preserve">Washington, D.C., USA, is now at the Department of Health Science, Brigham Young University in Provo, Utah, USA. Tran </w:t>
      </w:r>
      <w:proofErr w:type="spellStart"/>
      <w:r w:rsidRPr="0041615F">
        <w:rPr>
          <w:rFonts w:cs="Times New Roman"/>
          <w:sz w:val="24"/>
          <w:szCs w:val="24"/>
        </w:rPr>
        <w:t>Thi</w:t>
      </w:r>
      <w:proofErr w:type="spellEnd"/>
      <w:r w:rsidRPr="0041615F">
        <w:rPr>
          <w:rFonts w:cs="Times New Roman"/>
          <w:sz w:val="24"/>
          <w:szCs w:val="24"/>
        </w:rPr>
        <w:t xml:space="preserve"> Lang, Nguyen </w:t>
      </w:r>
      <w:proofErr w:type="spellStart"/>
      <w:r w:rsidRPr="0041615F">
        <w:rPr>
          <w:rFonts w:cs="Times New Roman"/>
          <w:sz w:val="24"/>
          <w:szCs w:val="24"/>
        </w:rPr>
        <w:t>Dhanh</w:t>
      </w:r>
      <w:proofErr w:type="spellEnd"/>
      <w:r w:rsidRPr="0041615F">
        <w:rPr>
          <w:rFonts w:cs="Times New Roman"/>
          <w:sz w:val="24"/>
          <w:szCs w:val="24"/>
        </w:rPr>
        <w:t xml:space="preserve"> </w:t>
      </w:r>
      <w:proofErr w:type="spellStart"/>
      <w:r w:rsidRPr="0041615F">
        <w:rPr>
          <w:rFonts w:cs="Times New Roman"/>
          <w:sz w:val="24"/>
          <w:szCs w:val="24"/>
        </w:rPr>
        <w:t>Hien</w:t>
      </w:r>
      <w:proofErr w:type="spellEnd"/>
      <w:r w:rsidRPr="0041615F">
        <w:rPr>
          <w:rFonts w:cs="Times New Roman"/>
          <w:sz w:val="24"/>
          <w:szCs w:val="24"/>
        </w:rPr>
        <w:t xml:space="preserve">, Doan </w:t>
      </w:r>
      <w:proofErr w:type="spellStart"/>
      <w:r w:rsidRPr="0041615F">
        <w:rPr>
          <w:rFonts w:cs="Times New Roman"/>
          <w:sz w:val="24"/>
          <w:szCs w:val="24"/>
        </w:rPr>
        <w:t>Anh</w:t>
      </w:r>
      <w:proofErr w:type="spellEnd"/>
      <w:r w:rsidRPr="0041615F">
        <w:rPr>
          <w:rFonts w:cs="Times New Roman"/>
          <w:sz w:val="24"/>
          <w:szCs w:val="24"/>
        </w:rPr>
        <w:t xml:space="preserve"> Tuan, and David </w:t>
      </w:r>
      <w:proofErr w:type="spellStart"/>
      <w:r w:rsidRPr="0041615F">
        <w:rPr>
          <w:rFonts w:cs="Times New Roman"/>
          <w:sz w:val="24"/>
          <w:szCs w:val="24"/>
        </w:rPr>
        <w:t>Claussenius</w:t>
      </w:r>
      <w:proofErr w:type="spellEnd"/>
      <w:r w:rsidRPr="0041615F">
        <w:rPr>
          <w:rFonts w:cs="Times New Roman"/>
          <w:sz w:val="24"/>
          <w:szCs w:val="24"/>
        </w:rPr>
        <w:t xml:space="preserve"> are affiliated Save the Children Federation/US in Hanoi, Viet Nam.</w:t>
      </w: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41615F">
        <w:rPr>
          <w:rFonts w:cs="Times New Roman"/>
          <w:sz w:val="24"/>
          <w:szCs w:val="24"/>
        </w:rPr>
        <w:t>Mention of the names of firms and commercial products does not imply endorsement by the United Nations University.</w:t>
      </w: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41615F">
        <w:rPr>
          <w:rFonts w:cs="Times New Roman"/>
          <w:sz w:val="24"/>
          <w:szCs w:val="24"/>
        </w:rPr>
        <w:t xml:space="preserve">* The </w:t>
      </w:r>
      <w:proofErr w:type="spellStart"/>
      <w:r w:rsidRPr="0041615F">
        <w:rPr>
          <w:rFonts w:cs="Times New Roman"/>
          <w:sz w:val="24"/>
          <w:szCs w:val="24"/>
        </w:rPr>
        <w:t>ViSION</w:t>
      </w:r>
      <w:proofErr w:type="spellEnd"/>
      <w:r w:rsidRPr="0041615F">
        <w:rPr>
          <w:rFonts w:cs="Times New Roman"/>
          <w:sz w:val="24"/>
          <w:szCs w:val="24"/>
        </w:rPr>
        <w:t xml:space="preserve"> (Viet Nam study to improve outcomes in nutrition) project evaluated the implementation and impact of an integrated nutrition program on the nutritional status,</w:t>
      </w: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41615F">
        <w:rPr>
          <w:rFonts w:cs="Times New Roman"/>
          <w:sz w:val="24"/>
          <w:szCs w:val="24"/>
        </w:rPr>
        <w:t>morbidity, diet of, and care for children 5 to 25 months old in rural Viet Nam, through a partnership among Save the Children/US (Hanoi and Westport, Conn., USA), the</w:t>
      </w: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r w:rsidRPr="0041615F">
        <w:rPr>
          <w:rFonts w:cs="Times New Roman"/>
          <w:sz w:val="24"/>
          <w:szCs w:val="24"/>
        </w:rPr>
        <w:t>USAID-funded LINKAGES project (Washington, D.C.)</w:t>
      </w:r>
      <w:proofErr w:type="gramStart"/>
      <w:r w:rsidRPr="0041615F">
        <w:rPr>
          <w:rFonts w:cs="Times New Roman"/>
          <w:sz w:val="24"/>
          <w:szCs w:val="24"/>
        </w:rPr>
        <w:t>,Emory</w:t>
      </w:r>
      <w:proofErr w:type="gramEnd"/>
      <w:r w:rsidRPr="0041615F">
        <w:rPr>
          <w:rFonts w:cs="Times New Roman"/>
          <w:sz w:val="24"/>
          <w:szCs w:val="24"/>
        </w:rPr>
        <w:t xml:space="preserve"> University’s Rollins School of Public Health (</w:t>
      </w:r>
      <w:proofErr w:type="spellStart"/>
      <w:r w:rsidRPr="0041615F">
        <w:rPr>
          <w:rFonts w:cs="Times New Roman"/>
          <w:sz w:val="24"/>
          <w:szCs w:val="24"/>
        </w:rPr>
        <w:t>Atlanta,Ga</w:t>
      </w:r>
      <w:proofErr w:type="spellEnd"/>
      <w:r w:rsidRPr="0041615F">
        <w:rPr>
          <w:rFonts w:cs="Times New Roman"/>
          <w:sz w:val="24"/>
          <w:szCs w:val="24"/>
        </w:rPr>
        <w:t>., USA), and the Research and Training Center for Community</w:t>
      </w:r>
    </w:p>
    <w:p w:rsidR="0041615F" w:rsidRPr="0041615F" w:rsidRDefault="0041615F" w:rsidP="0041615F">
      <w:pPr>
        <w:widowControl/>
        <w:adjustRightInd w:val="0"/>
        <w:spacing w:line="360" w:lineRule="auto"/>
        <w:jc w:val="both"/>
        <w:rPr>
          <w:rFonts w:cs="Times New Roman"/>
          <w:sz w:val="24"/>
          <w:szCs w:val="24"/>
        </w:rPr>
      </w:pPr>
      <w:proofErr w:type="gramStart"/>
      <w:r w:rsidRPr="0041615F">
        <w:rPr>
          <w:rFonts w:cs="Times New Roman"/>
          <w:sz w:val="24"/>
          <w:szCs w:val="24"/>
        </w:rPr>
        <w:t>Development (Hanoi).</w:t>
      </w:r>
      <w:proofErr w:type="gramEnd"/>
    </w:p>
    <w:p w:rsidR="0041615F" w:rsidRDefault="0041615F" w:rsidP="0041615F">
      <w:pPr>
        <w:widowControl/>
        <w:adjustRightInd w:val="0"/>
        <w:rPr>
          <w:rFonts w:ascii="Syntax-Bold" w:hAnsi="Syntax-Bold" w:cs="Syntax-Bold"/>
          <w:b/>
          <w:bCs/>
          <w:sz w:val="36"/>
          <w:szCs w:val="36"/>
        </w:rPr>
      </w:pPr>
    </w:p>
    <w:p w:rsidR="0041615F" w:rsidRDefault="0041615F" w:rsidP="0041615F">
      <w:pPr>
        <w:widowControl/>
        <w:adjustRightInd w:val="0"/>
        <w:rPr>
          <w:rFonts w:ascii="Syntax-Bold" w:hAnsi="Syntax-Bold" w:cs="Syntax-Bold"/>
          <w:b/>
          <w:bCs/>
          <w:sz w:val="36"/>
          <w:szCs w:val="36"/>
        </w:rPr>
      </w:pPr>
    </w:p>
    <w:p w:rsidR="0041615F" w:rsidRPr="0041615F" w:rsidRDefault="0041615F" w:rsidP="0041615F">
      <w:pPr>
        <w:widowControl/>
        <w:adjustRightInd w:val="0"/>
        <w:rPr>
          <w:rFonts w:ascii="Syntax-Bold" w:hAnsi="Syntax-Bold" w:cs="Syntax-Bold"/>
          <w:b/>
          <w:bCs/>
          <w:sz w:val="36"/>
          <w:szCs w:val="36"/>
        </w:rPr>
      </w:pPr>
    </w:p>
    <w:p w:rsidR="00905CCE" w:rsidRPr="00905CCE" w:rsidRDefault="00905CCE" w:rsidP="00905CCE">
      <w:pPr>
        <w:spacing w:line="480" w:lineRule="auto"/>
        <w:jc w:val="both"/>
        <w:rPr>
          <w:rFonts w:cs="Times New Roman"/>
          <w:sz w:val="24"/>
          <w:szCs w:val="24"/>
        </w:rPr>
      </w:pPr>
    </w:p>
    <w:sectPr w:rsidR="00905CCE" w:rsidRPr="00905CCE" w:rsidSect="00F9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SemiboldSemi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NimbusRomNo9L-Regu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ntax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05CCE"/>
    <w:rsid w:val="00143E7E"/>
    <w:rsid w:val="001B45A0"/>
    <w:rsid w:val="001E23C3"/>
    <w:rsid w:val="00294932"/>
    <w:rsid w:val="00351B34"/>
    <w:rsid w:val="0041615F"/>
    <w:rsid w:val="0069552D"/>
    <w:rsid w:val="008216B1"/>
    <w:rsid w:val="00905CCE"/>
    <w:rsid w:val="009C245E"/>
    <w:rsid w:val="00BF4B15"/>
    <w:rsid w:val="00E1456C"/>
    <w:rsid w:val="00F9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552D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69552D"/>
    <w:pPr>
      <w:spacing w:before="1"/>
      <w:ind w:left="68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9552D"/>
    <w:pPr>
      <w:ind w:left="680"/>
      <w:outlineLvl w:val="1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69552D"/>
    <w:pPr>
      <w:ind w:left="920" w:hanging="241"/>
      <w:outlineLvl w:val="2"/>
    </w:pPr>
    <w:rPr>
      <w:rFonts w:eastAsia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9552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955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69552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9552D"/>
    <w:pPr>
      <w:spacing w:line="413" w:lineRule="exact"/>
      <w:ind w:left="1020" w:right="899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6955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69552D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552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52D"/>
    <w:rPr>
      <w:b/>
      <w:bCs/>
    </w:rPr>
  </w:style>
  <w:style w:type="paragraph" w:styleId="NoSpacing">
    <w:name w:val="No Spacing"/>
    <w:uiPriority w:val="1"/>
    <w:qFormat/>
    <w:rsid w:val="0069552D"/>
    <w:pPr>
      <w:widowControl/>
      <w:autoSpaceDE/>
      <w:autoSpaceDN/>
    </w:pPr>
  </w:style>
  <w:style w:type="paragraph" w:styleId="ListParagraph">
    <w:name w:val="List Paragraph"/>
    <w:basedOn w:val="Normal"/>
    <w:uiPriority w:val="34"/>
    <w:qFormat/>
    <w:rsid w:val="0069552D"/>
    <w:pPr>
      <w:ind w:left="140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9552D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216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bauer1@uq.edu.au" TargetMode="External"/><Relationship Id="rId4" Type="http://schemas.openxmlformats.org/officeDocument/2006/relationships/hyperlink" Target="mailto:dksinchai@coe.ps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Mishra</dc:creator>
  <cp:lastModifiedBy>Anil Mishra</cp:lastModifiedBy>
  <cp:revision>3</cp:revision>
  <dcterms:created xsi:type="dcterms:W3CDTF">2022-09-09T19:06:00Z</dcterms:created>
  <dcterms:modified xsi:type="dcterms:W3CDTF">2022-09-10T00:42:00Z</dcterms:modified>
</cp:coreProperties>
</file>