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EAC" w:rsidRDefault="00E01EAC"/>
    <w:p w:rsidR="00E01EAC" w:rsidRDefault="00E01EAC">
      <w:r>
        <w:rPr>
          <w:noProof/>
          <w:lang w:eastAsia="en-IN"/>
        </w:rPr>
        <w:drawing>
          <wp:inline distT="0" distB="0" distL="0" distR="0">
            <wp:extent cx="5731510" cy="3222625"/>
            <wp:effectExtent l="133350" t="95250" r="154940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01EAC" w:rsidRDefault="00483325" w:rsidP="00E01EAC">
      <w:hyperlink r:id="rId6" w:history="1">
        <w:r w:rsidR="00645763" w:rsidRPr="00D81402">
          <w:rPr>
            <w:rStyle w:val="Hyperlink"/>
          </w:rPr>
          <w:t>https://www.tinkercad.com/things/0Gw27YWSHaQ-temperarure-sensor/editel</w:t>
        </w:r>
      </w:hyperlink>
    </w:p>
    <w:p w:rsidR="00645763" w:rsidRPr="00E01EAC" w:rsidRDefault="00645763" w:rsidP="00E01EAC"/>
    <w:p w:rsidR="00E01EAC" w:rsidRDefault="00E01EAC" w:rsidP="00E01EAC"/>
    <w:p w:rsidR="000636CF" w:rsidRDefault="00E01EAC" w:rsidP="00E01EAC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63" w:rsidRDefault="00483325" w:rsidP="00E01EAC">
      <w:hyperlink r:id="rId8" w:history="1">
        <w:r w:rsidRPr="009E5E37">
          <w:rPr>
            <w:rStyle w:val="Hyperlink"/>
          </w:rPr>
          <w:t>https://www.tinkercad.com/things/cQC7tSoGkQV-pir-sensor/editel</w:t>
        </w:r>
      </w:hyperlink>
    </w:p>
    <w:p w:rsidR="00483325" w:rsidRPr="00E01EAC" w:rsidRDefault="00483325" w:rsidP="00E01EAC">
      <w:bookmarkStart w:id="0" w:name="_GoBack"/>
      <w:bookmarkEnd w:id="0"/>
    </w:p>
    <w:sectPr w:rsidR="00483325" w:rsidRPr="00E01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AC"/>
    <w:rsid w:val="00483325"/>
    <w:rsid w:val="004B6B54"/>
    <w:rsid w:val="00645763"/>
    <w:rsid w:val="009156B5"/>
    <w:rsid w:val="00E0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57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57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cQC7tSoGkQV-pir-sensor/edit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0Gw27YWSHaQ-temperarure-sensor/edite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3</cp:revision>
  <dcterms:created xsi:type="dcterms:W3CDTF">2022-10-11T02:08:00Z</dcterms:created>
  <dcterms:modified xsi:type="dcterms:W3CDTF">2022-10-11T02:26:00Z</dcterms:modified>
</cp:coreProperties>
</file>