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 P.Abhinav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19ITA01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R&amp;D spending: The amount which startups are spending on Research and development.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Administration spending: The amount which startups are spending on the Admin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Question-3:</w:t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Marketing spending: The amount which startups are spending on marketing strategies.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Question-4:</w:t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State: To which state that particular startup belongs.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306.0" w:type="dxa"/>
        <w:jc w:val="left"/>
        <w:tblInd w:w="0.0" w:type="dxa"/>
        <w:tblLayout w:type="fixed"/>
        <w:tblLook w:val="0400"/>
      </w:tblPr>
      <w:tblGrid>
        <w:gridCol w:w="306"/>
        <w:tblGridChange w:id="0">
          <w:tblGrid>
            <w:gridCol w:w="30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0EA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3C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3CB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niB9WOz+SEbjCCvBmFekT8pQg==">AMUW2mVwWxHXWAdMmGsRZnyupTN7tWv1YHwtKl4UYd/O+M+7E82WCTQVSfPvEcByJ4hzOQwRCvqFyR8EXAonRsGBbDo4F5vDTT+LgdcvuU3e0vsXatjsoDA=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