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Data Analytics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 A.Inbasekaran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19ITA22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R&amp;D spending: The amount which startups are spending on Research and development.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Administration spending: The amount which startups are spending on the Admin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Question-3:</w:t>
      </w:r>
    </w:p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Marketing spending: The amount which startups are spending on marketing strategies.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Question-4:</w:t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State: To which state that particular startup belongs.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306.0" w:type="dxa"/>
        <w:jc w:val="left"/>
        <w:tblInd w:w="0.0" w:type="dxa"/>
        <w:tblLayout w:type="fixed"/>
        <w:tblLook w:val="0400"/>
      </w:tblPr>
      <w:tblGrid>
        <w:gridCol w:w="306"/>
        <w:tblGridChange w:id="0">
          <w:tblGrid>
            <w:gridCol w:w="30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0EA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3CB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3CB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niB9WOz+SEbjCCvBmFekT8pQg==">AMUW2mUjBFRIzpvOhSVL9Idwox0gQsSqWwB0QtIuJ8byOGYtmphYP2biADjzqSUGbyQNUxP6jpFEOn1tnadcYGUuyPuBal8kmXjVhl/NsPc2YmgiBe7PJ20=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