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PNT2022TMID38514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PHISHING  DETECTION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3877">
          <v:rect xmlns:o="urn:schemas-microsoft-com:office:office" xmlns:v="urn:schemas-microsoft-com:vml" id="rectole0000000000" style="width:433.200000pt;height:19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of the voice patient diary sample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https://aws.amazon.com/blogs/industries/voice-applications-in-clinical-research-powered-by-ai-on-aws-part-1-architecture-and-design-considerations/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ws.amazon.com/blogs/industries/voice-applications-in-clinical-research-powered-by-ai-on-aws-part-1-architecture-and-design-considerations/" Id="docRId2" Type="http://schemas.openxmlformats.org/officeDocument/2006/relationships/hyperlink" /><Relationship Target="styles.xml" Id="docRId4" Type="http://schemas.openxmlformats.org/officeDocument/2006/relationships/styles" /></Relationships>
</file>