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6DDD7" w14:textId="77777777" w:rsidR="00D0563F" w:rsidRDefault="00000000">
      <w:pPr>
        <w:spacing w:after="0"/>
        <w:ind w:left="10" w:right="3407" w:hanging="10"/>
        <w:jc w:val="right"/>
      </w:pPr>
      <w:r>
        <w:rPr>
          <w:b/>
          <w:sz w:val="24"/>
        </w:rPr>
        <w:t xml:space="preserve">Project Design Phase-I </w:t>
      </w:r>
    </w:p>
    <w:p w14:paraId="546976E4" w14:textId="77777777" w:rsidR="00D0563F" w:rsidRDefault="00000000">
      <w:pPr>
        <w:spacing w:after="0"/>
        <w:ind w:left="10" w:right="3090" w:hanging="10"/>
        <w:jc w:val="right"/>
      </w:pPr>
      <w:r>
        <w:rPr>
          <w:b/>
          <w:sz w:val="24"/>
        </w:rPr>
        <w:t xml:space="preserve">Proposed Solution Template </w:t>
      </w:r>
    </w:p>
    <w:p w14:paraId="6D02F758" w14:textId="77777777" w:rsidR="00D0563F" w:rsidRDefault="00000000">
      <w:pPr>
        <w:spacing w:after="0"/>
      </w:pPr>
      <w:r>
        <w:rPr>
          <w:b/>
          <w:sz w:val="24"/>
        </w:rPr>
        <w:t xml:space="preserve"> </w:t>
      </w:r>
    </w:p>
    <w:tbl>
      <w:tblPr>
        <w:tblStyle w:val="TableGrid"/>
        <w:tblW w:w="9023" w:type="dxa"/>
        <w:tblInd w:w="111" w:type="dxa"/>
        <w:tblCellMar>
          <w:top w:w="38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515"/>
        <w:gridCol w:w="4508"/>
      </w:tblGrid>
      <w:tr w:rsidR="00D0563F" w14:paraId="1D8E78A6" w14:textId="77777777">
        <w:trPr>
          <w:trHeight w:val="278"/>
        </w:trPr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7E81A" w14:textId="77777777" w:rsidR="00D0563F" w:rsidRDefault="00000000">
            <w:pPr>
              <w:ind w:left="5"/>
            </w:pPr>
            <w:r>
              <w:t xml:space="preserve">Date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FEE1B" w14:textId="77777777" w:rsidR="00D0563F" w:rsidRDefault="00000000">
            <w:r>
              <w:t xml:space="preserve">10 October 2022 </w:t>
            </w:r>
          </w:p>
        </w:tc>
      </w:tr>
      <w:tr w:rsidR="005A6B4D" w14:paraId="6FBDF44F" w14:textId="77777777">
        <w:trPr>
          <w:trHeight w:val="278"/>
        </w:trPr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72EED" w14:textId="77777777" w:rsidR="005A6B4D" w:rsidRDefault="005A6B4D" w:rsidP="005A6B4D">
            <w:pPr>
              <w:ind w:left="5"/>
            </w:pPr>
            <w:r>
              <w:t xml:space="preserve">Team ID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023E5" w14:textId="109E911E" w:rsidR="005A6B4D" w:rsidRPr="005A6B4D" w:rsidRDefault="005A6B4D" w:rsidP="005A6B4D">
            <w:pPr>
              <w:rPr>
                <w:i/>
                <w:iCs/>
                <w:sz w:val="20"/>
                <w:szCs w:val="20"/>
              </w:rPr>
            </w:pPr>
            <w:r w:rsidRPr="005A6B4D">
              <w:rPr>
                <w:rFonts w:ascii="Verdana" w:hAnsi="Verdana"/>
                <w:i/>
                <w:iCs/>
                <w:color w:val="222222"/>
                <w:sz w:val="20"/>
                <w:szCs w:val="20"/>
                <w:shd w:val="clear" w:color="auto" w:fill="FFFFFF"/>
              </w:rPr>
              <w:t>PNT2022TMID43614</w:t>
            </w:r>
          </w:p>
        </w:tc>
      </w:tr>
      <w:tr w:rsidR="005A6B4D" w14:paraId="1D16A0FF" w14:textId="77777777">
        <w:trPr>
          <w:trHeight w:val="278"/>
        </w:trPr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27F18" w14:textId="77777777" w:rsidR="005A6B4D" w:rsidRDefault="005A6B4D" w:rsidP="005A6B4D">
            <w:pPr>
              <w:ind w:left="5"/>
            </w:pPr>
            <w:r>
              <w:t xml:space="preserve">Project Name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2BA6D" w14:textId="77777777" w:rsidR="005A6B4D" w:rsidRDefault="005A6B4D" w:rsidP="005A6B4D">
            <w:r>
              <w:t xml:space="preserve">Project - Crude Oil Price Prediction </w:t>
            </w:r>
          </w:p>
        </w:tc>
      </w:tr>
      <w:tr w:rsidR="005A6B4D" w14:paraId="49FADAFD" w14:textId="77777777">
        <w:trPr>
          <w:trHeight w:val="278"/>
        </w:trPr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B0F5C" w14:textId="77777777" w:rsidR="005A6B4D" w:rsidRDefault="005A6B4D" w:rsidP="005A6B4D">
            <w:pPr>
              <w:ind w:left="5"/>
            </w:pPr>
            <w:r>
              <w:t xml:space="preserve">Maximum Marks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90327" w14:textId="77777777" w:rsidR="005A6B4D" w:rsidRDefault="005A6B4D" w:rsidP="005A6B4D">
            <w:r>
              <w:t xml:space="preserve">2 Marks </w:t>
            </w:r>
          </w:p>
        </w:tc>
      </w:tr>
    </w:tbl>
    <w:p w14:paraId="37B00470" w14:textId="77777777" w:rsidR="00D0563F" w:rsidRDefault="00000000">
      <w:pPr>
        <w:spacing w:after="0"/>
      </w:pPr>
      <w:r>
        <w:rPr>
          <w:b/>
          <w:sz w:val="20"/>
        </w:rPr>
        <w:t xml:space="preserve"> </w:t>
      </w:r>
    </w:p>
    <w:p w14:paraId="76A6FF12" w14:textId="77777777" w:rsidR="00D0563F" w:rsidRDefault="00000000">
      <w:pPr>
        <w:spacing w:after="30"/>
      </w:pPr>
      <w:r>
        <w:rPr>
          <w:b/>
          <w:sz w:val="17"/>
        </w:rPr>
        <w:t xml:space="preserve"> </w:t>
      </w:r>
    </w:p>
    <w:p w14:paraId="7F945331" w14:textId="77777777" w:rsidR="00D0563F" w:rsidRDefault="00000000">
      <w:pPr>
        <w:spacing w:after="0"/>
        <w:ind w:left="221"/>
      </w:pPr>
      <w:r>
        <w:rPr>
          <w:b/>
        </w:rPr>
        <w:t xml:space="preserve">Proposed Solution Template: </w:t>
      </w:r>
    </w:p>
    <w:p w14:paraId="7848702A" w14:textId="77777777" w:rsidR="00D0563F" w:rsidRDefault="00000000">
      <w:pPr>
        <w:spacing w:after="0"/>
      </w:pPr>
      <w:r>
        <w:rPr>
          <w:b/>
          <w:sz w:val="14"/>
        </w:rPr>
        <w:t xml:space="preserve"> </w:t>
      </w:r>
    </w:p>
    <w:tbl>
      <w:tblPr>
        <w:tblStyle w:val="TableGrid"/>
        <w:tblW w:w="8822" w:type="dxa"/>
        <w:tblInd w:w="111" w:type="dxa"/>
        <w:tblCellMar>
          <w:top w:w="38" w:type="dxa"/>
          <w:left w:w="113" w:type="dxa"/>
          <w:right w:w="55" w:type="dxa"/>
        </w:tblCellMar>
        <w:tblLook w:val="04A0" w:firstRow="1" w:lastRow="0" w:firstColumn="1" w:lastColumn="0" w:noHBand="0" w:noVBand="1"/>
      </w:tblPr>
      <w:tblGrid>
        <w:gridCol w:w="864"/>
        <w:gridCol w:w="3517"/>
        <w:gridCol w:w="4441"/>
      </w:tblGrid>
      <w:tr w:rsidR="00D0563F" w14:paraId="48698C8C" w14:textId="77777777">
        <w:trPr>
          <w:trHeight w:val="278"/>
        </w:trPr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3F4B8" w14:textId="77777777" w:rsidR="00D0563F" w:rsidRDefault="00000000">
            <w:pPr>
              <w:ind w:left="14"/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 xml:space="preserve">. </w:t>
            </w:r>
          </w:p>
        </w:tc>
        <w:tc>
          <w:tcPr>
            <w:tcW w:w="3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FFB41" w14:textId="77777777" w:rsidR="00D0563F" w:rsidRDefault="00000000">
            <w:pPr>
              <w:ind w:left="7"/>
            </w:pPr>
            <w:r>
              <w:rPr>
                <w:b/>
              </w:rPr>
              <w:t xml:space="preserve">Parameter </w:t>
            </w:r>
          </w:p>
        </w:tc>
        <w:tc>
          <w:tcPr>
            <w:tcW w:w="4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6C03B" w14:textId="77777777" w:rsidR="00D0563F" w:rsidRDefault="00000000">
            <w:r>
              <w:rPr>
                <w:b/>
              </w:rPr>
              <w:t xml:space="preserve">Description </w:t>
            </w:r>
          </w:p>
        </w:tc>
      </w:tr>
      <w:tr w:rsidR="00D0563F" w14:paraId="76BB7D5C" w14:textId="77777777">
        <w:trPr>
          <w:trHeight w:val="1964"/>
        </w:trPr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1AD1B" w14:textId="77777777" w:rsidR="00D0563F" w:rsidRDefault="00000000">
            <w:pPr>
              <w:ind w:left="62"/>
              <w:jc w:val="center"/>
            </w:pPr>
            <w:r>
              <w:t xml:space="preserve">1. </w:t>
            </w:r>
          </w:p>
        </w:tc>
        <w:tc>
          <w:tcPr>
            <w:tcW w:w="3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A9AE8" w14:textId="77777777" w:rsidR="00D0563F" w:rsidRDefault="00000000">
            <w:pPr>
              <w:ind w:left="7"/>
            </w:pPr>
            <w:r>
              <w:rPr>
                <w:color w:val="202020"/>
              </w:rPr>
              <w:t>Problem Statement (Problem to be solved)</w:t>
            </w:r>
            <w:r>
              <w:t xml:space="preserve"> </w:t>
            </w:r>
          </w:p>
        </w:tc>
        <w:tc>
          <w:tcPr>
            <w:tcW w:w="4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595AA" w14:textId="6E8DEA36" w:rsidR="00D0563F" w:rsidRDefault="00000000">
            <w:pPr>
              <w:ind w:right="97"/>
              <w:jc w:val="both"/>
            </w:pPr>
            <w:r>
              <w:rPr>
                <w:sz w:val="20"/>
              </w:rPr>
              <w:t>The price of crude oil</w:t>
            </w:r>
            <w:r w:rsidR="00D24ACE">
              <w:rPr>
                <w:sz w:val="20"/>
              </w:rPr>
              <w:t xml:space="preserve"> is</w:t>
            </w:r>
            <w:r>
              <w:rPr>
                <w:sz w:val="20"/>
              </w:rPr>
              <w:t xml:space="preserve"> the most </w:t>
            </w:r>
            <w:r w:rsidR="00D24ACE">
              <w:rPr>
                <w:sz w:val="20"/>
              </w:rPr>
              <w:t>necessary</w:t>
            </w:r>
            <w:r>
              <w:rPr>
                <w:sz w:val="20"/>
              </w:rPr>
              <w:t xml:space="preserve"> </w:t>
            </w:r>
            <w:r w:rsidR="00D24ACE">
              <w:rPr>
                <w:sz w:val="20"/>
              </w:rPr>
              <w:t>things</w:t>
            </w:r>
            <w:r>
              <w:rPr>
                <w:sz w:val="20"/>
              </w:rPr>
              <w:t xml:space="preserve"> in the world</w:t>
            </w:r>
            <w:r w:rsidR="00D24ACE">
              <w:rPr>
                <w:sz w:val="20"/>
              </w:rPr>
              <w:t xml:space="preserve"> and</w:t>
            </w:r>
            <w:r>
              <w:rPr>
                <w:sz w:val="20"/>
              </w:rPr>
              <w:t xml:space="preserve"> has a big impact on the environment </w:t>
            </w:r>
            <w:proofErr w:type="gramStart"/>
            <w:r>
              <w:rPr>
                <w:sz w:val="20"/>
              </w:rPr>
              <w:t>globally</w:t>
            </w:r>
            <w:r w:rsidR="00D24ACE">
              <w:rPr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r w:rsidR="00D24ACE">
              <w:rPr>
                <w:sz w:val="20"/>
              </w:rPr>
              <w:t>So</w:t>
            </w:r>
            <w:proofErr w:type="gramEnd"/>
            <w:r w:rsidR="00D24ACE">
              <w:rPr>
                <w:sz w:val="20"/>
              </w:rPr>
              <w:t xml:space="preserve"> </w:t>
            </w:r>
            <w:r>
              <w:rPr>
                <w:sz w:val="20"/>
              </w:rPr>
              <w:t>forecasts are very helpful for governments, businesses, and people. Continuous use of statistical and econometric methods, including AI,</w:t>
            </w:r>
            <w:r w:rsidR="00D24ACE">
              <w:rPr>
                <w:sz w:val="20"/>
              </w:rPr>
              <w:t xml:space="preserve"> we plan to monitor all this and solve the problem occur through this.</w:t>
            </w:r>
            <w:r>
              <w:rPr>
                <w:sz w:val="20"/>
              </w:rPr>
              <w:t xml:space="preserve"> </w:t>
            </w:r>
          </w:p>
        </w:tc>
      </w:tr>
      <w:tr w:rsidR="00D0563F" w14:paraId="28B0E6AC" w14:textId="77777777">
        <w:trPr>
          <w:trHeight w:val="1718"/>
        </w:trPr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53420" w14:textId="77777777" w:rsidR="00D0563F" w:rsidRDefault="00000000">
            <w:pPr>
              <w:ind w:left="62"/>
              <w:jc w:val="center"/>
            </w:pPr>
            <w:r>
              <w:t xml:space="preserve">2. </w:t>
            </w:r>
          </w:p>
        </w:tc>
        <w:tc>
          <w:tcPr>
            <w:tcW w:w="3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D7349" w14:textId="77777777" w:rsidR="00D0563F" w:rsidRDefault="00000000">
            <w:pPr>
              <w:ind w:left="7"/>
            </w:pPr>
            <w:r>
              <w:rPr>
                <w:color w:val="202020"/>
              </w:rPr>
              <w:t>Idea / Solution description</w:t>
            </w:r>
            <w:r>
              <w:t xml:space="preserve"> </w:t>
            </w:r>
          </w:p>
        </w:tc>
        <w:tc>
          <w:tcPr>
            <w:tcW w:w="4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C922E" w14:textId="00D6B7B0" w:rsidR="00D0563F" w:rsidRDefault="00000000">
            <w:pPr>
              <w:ind w:right="93"/>
              <w:jc w:val="both"/>
            </w:pPr>
            <w:r>
              <w:rPr>
                <w:sz w:val="20"/>
              </w:rPr>
              <w:t xml:space="preserve">In order to predict future crude </w:t>
            </w:r>
            <w:proofErr w:type="gramStart"/>
            <w:r>
              <w:rPr>
                <w:sz w:val="20"/>
              </w:rPr>
              <w:t>oil</w:t>
            </w:r>
            <w:proofErr w:type="gramEnd"/>
            <w:r>
              <w:rPr>
                <w:sz w:val="20"/>
              </w:rPr>
              <w:t xml:space="preserve"> </w:t>
            </w:r>
            <w:r w:rsidR="00D24ACE">
              <w:rPr>
                <w:sz w:val="20"/>
              </w:rPr>
              <w:t>we need</w:t>
            </w:r>
            <w:r>
              <w:rPr>
                <w:sz w:val="20"/>
              </w:rPr>
              <w:t xml:space="preserve"> historical data o</w:t>
            </w:r>
            <w:r w:rsidR="00D24ACE">
              <w:rPr>
                <w:sz w:val="20"/>
              </w:rPr>
              <w:t>f</w:t>
            </w:r>
            <w:r>
              <w:rPr>
                <w:sz w:val="20"/>
              </w:rPr>
              <w:t xml:space="preserve"> crude oil, RNN is </w:t>
            </w:r>
            <w:r w:rsidR="00D24ACE">
              <w:rPr>
                <w:sz w:val="20"/>
              </w:rPr>
              <w:t>perfect</w:t>
            </w:r>
            <w:r>
              <w:rPr>
                <w:sz w:val="20"/>
              </w:rPr>
              <w:t xml:space="preserve"> with long</w:t>
            </w:r>
            <w:r w:rsidR="00D24ACE">
              <w:rPr>
                <w:sz w:val="20"/>
              </w:rPr>
              <w:t>-</w:t>
            </w:r>
            <w:r>
              <w:rPr>
                <w:sz w:val="20"/>
              </w:rPr>
              <w:t xml:space="preserve"> short</w:t>
            </w:r>
            <w:r w:rsidR="00D24ACE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term memory. The effectiveness of the cost is calculated using the mean squared error. </w:t>
            </w:r>
          </w:p>
        </w:tc>
      </w:tr>
      <w:tr w:rsidR="00D0563F" w14:paraId="29B83BEE" w14:textId="77777777">
        <w:trPr>
          <w:trHeight w:val="2223"/>
        </w:trPr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E26E8" w14:textId="77777777" w:rsidR="00D0563F" w:rsidRDefault="00000000">
            <w:pPr>
              <w:ind w:left="62"/>
              <w:jc w:val="center"/>
            </w:pPr>
            <w:r>
              <w:t xml:space="preserve">3. </w:t>
            </w:r>
          </w:p>
        </w:tc>
        <w:tc>
          <w:tcPr>
            <w:tcW w:w="3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764A0" w14:textId="77777777" w:rsidR="00D0563F" w:rsidRDefault="00000000">
            <w:pPr>
              <w:ind w:left="7"/>
            </w:pPr>
            <w:r>
              <w:rPr>
                <w:color w:val="202020"/>
              </w:rPr>
              <w:t>Novelty / Uniqueness</w:t>
            </w:r>
            <w:r>
              <w:t xml:space="preserve"> </w:t>
            </w:r>
          </w:p>
        </w:tc>
        <w:tc>
          <w:tcPr>
            <w:tcW w:w="4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C3FDD" w14:textId="3D5B5115" w:rsidR="00D0563F" w:rsidRDefault="00D24ACE">
            <w:pPr>
              <w:numPr>
                <w:ilvl w:val="0"/>
                <w:numId w:val="1"/>
              </w:numPr>
              <w:spacing w:after="49" w:line="241" w:lineRule="auto"/>
              <w:ind w:right="122" w:hanging="420"/>
            </w:pPr>
            <w:r>
              <w:rPr>
                <w:sz w:val="20"/>
              </w:rPr>
              <w:t xml:space="preserve">The economics of any country is majorly dependent on the </w:t>
            </w:r>
            <w:proofErr w:type="gramStart"/>
            <w:r>
              <w:rPr>
                <w:sz w:val="20"/>
              </w:rPr>
              <w:t xml:space="preserve">price </w:t>
            </w:r>
            <w:r w:rsidR="00000000">
              <w:rPr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proofErr w:type="gramEnd"/>
            <w:r>
              <w:rPr>
                <w:sz w:val="20"/>
              </w:rPr>
              <w:t xml:space="preserve"> the of the  fossil oil , So we predict the price early.</w:t>
            </w:r>
          </w:p>
          <w:p w14:paraId="720AF725" w14:textId="4AE8A8FA" w:rsidR="00D0563F" w:rsidRDefault="00D24ACE">
            <w:pPr>
              <w:numPr>
                <w:ilvl w:val="0"/>
                <w:numId w:val="1"/>
              </w:numPr>
              <w:ind w:right="122" w:hanging="420"/>
            </w:pPr>
            <w:r>
              <w:rPr>
                <w:sz w:val="20"/>
              </w:rPr>
              <w:t xml:space="preserve">This will help to all the sectors </w:t>
            </w:r>
            <w:proofErr w:type="gramStart"/>
            <w:r>
              <w:rPr>
                <w:sz w:val="20"/>
              </w:rPr>
              <w:t>like :</w:t>
            </w:r>
            <w:proofErr w:type="gramEnd"/>
            <w:r>
              <w:rPr>
                <w:sz w:val="20"/>
              </w:rPr>
              <w:t>- stock holder , businessman, people and government.</w:t>
            </w:r>
          </w:p>
        </w:tc>
      </w:tr>
      <w:tr w:rsidR="00D0563F" w14:paraId="55A01229" w14:textId="77777777">
        <w:trPr>
          <w:trHeight w:val="1969"/>
        </w:trPr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FEC1C" w14:textId="77777777" w:rsidR="00D0563F" w:rsidRDefault="00000000">
            <w:pPr>
              <w:ind w:left="62"/>
              <w:jc w:val="center"/>
            </w:pPr>
            <w:r>
              <w:t xml:space="preserve">4. </w:t>
            </w:r>
          </w:p>
        </w:tc>
        <w:tc>
          <w:tcPr>
            <w:tcW w:w="3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1AF0F" w14:textId="77777777" w:rsidR="00D0563F" w:rsidRDefault="00000000">
            <w:pPr>
              <w:ind w:left="7" w:right="29"/>
            </w:pPr>
            <w:r>
              <w:rPr>
                <w:color w:val="202020"/>
              </w:rPr>
              <w:t>Social Impact / Customer Satisfaction</w:t>
            </w:r>
            <w:r>
              <w:t xml:space="preserve"> </w:t>
            </w:r>
          </w:p>
        </w:tc>
        <w:tc>
          <w:tcPr>
            <w:tcW w:w="4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21F2E" w14:textId="77777777" w:rsidR="00D24ACE" w:rsidRPr="00D24ACE" w:rsidRDefault="00D24ACE">
            <w:pPr>
              <w:numPr>
                <w:ilvl w:val="0"/>
                <w:numId w:val="2"/>
              </w:numPr>
              <w:spacing w:after="32" w:line="244" w:lineRule="auto"/>
              <w:ind w:hanging="420"/>
              <w:jc w:val="both"/>
            </w:pPr>
            <w:r>
              <w:rPr>
                <w:sz w:val="20"/>
              </w:rPr>
              <w:t>The employee can see the future price of the oil and consume early as their demand.</w:t>
            </w:r>
          </w:p>
          <w:p w14:paraId="3F7A10B7" w14:textId="223A3A7A" w:rsidR="00D0563F" w:rsidRDefault="00000000">
            <w:pPr>
              <w:numPr>
                <w:ilvl w:val="0"/>
                <w:numId w:val="2"/>
              </w:numPr>
              <w:spacing w:after="32" w:line="244" w:lineRule="auto"/>
              <w:ind w:hanging="420"/>
              <w:jc w:val="both"/>
            </w:pPr>
            <w:r>
              <w:rPr>
                <w:sz w:val="20"/>
              </w:rPr>
              <w:t>This price directly affects a number of goods and products, and its changes have an impact on the stock markets.</w:t>
            </w:r>
            <w:r>
              <w:rPr>
                <w:rFonts w:ascii="Wingdings" w:eastAsia="Wingdings" w:hAnsi="Wingdings" w:cs="Wingdings"/>
                <w:sz w:val="20"/>
              </w:rPr>
              <w:t></w:t>
            </w:r>
          </w:p>
          <w:p w14:paraId="48E00802" w14:textId="33D2FEC7" w:rsidR="00D0563F" w:rsidRDefault="00D0563F" w:rsidP="00D24ACE">
            <w:pPr>
              <w:ind w:left="420"/>
              <w:jc w:val="both"/>
            </w:pPr>
          </w:p>
        </w:tc>
      </w:tr>
      <w:tr w:rsidR="00D0563F" w14:paraId="5FA161FA" w14:textId="77777777">
        <w:trPr>
          <w:trHeight w:val="2434"/>
        </w:trPr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59C23" w14:textId="77777777" w:rsidR="00D0563F" w:rsidRDefault="00000000">
            <w:pPr>
              <w:ind w:left="62"/>
              <w:jc w:val="center"/>
            </w:pPr>
            <w:r>
              <w:lastRenderedPageBreak/>
              <w:t xml:space="preserve">5. </w:t>
            </w:r>
          </w:p>
        </w:tc>
        <w:tc>
          <w:tcPr>
            <w:tcW w:w="3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3E47A" w14:textId="77777777" w:rsidR="00D0563F" w:rsidRDefault="00000000">
            <w:pPr>
              <w:ind w:left="7"/>
            </w:pPr>
            <w:r>
              <w:rPr>
                <w:color w:val="202020"/>
              </w:rPr>
              <w:t>Business Model (Revenue Model)</w:t>
            </w:r>
            <w:r>
              <w:t xml:space="preserve"> </w:t>
            </w:r>
          </w:p>
        </w:tc>
        <w:tc>
          <w:tcPr>
            <w:tcW w:w="4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0D63D" w14:textId="77777777" w:rsidR="00D0563F" w:rsidRDefault="00000000">
            <w:pPr>
              <w:numPr>
                <w:ilvl w:val="0"/>
                <w:numId w:val="3"/>
              </w:numPr>
              <w:spacing w:after="57" w:line="241" w:lineRule="auto"/>
              <w:ind w:right="91" w:hanging="420"/>
              <w:jc w:val="both"/>
            </w:pPr>
            <w:r>
              <w:rPr>
                <w:sz w:val="20"/>
              </w:rPr>
              <w:t xml:space="preserve">When deciding whether to purchase or sell crude oil, it can be useful to decision-makers who may be businesses, individual investors, or both. </w:t>
            </w:r>
          </w:p>
          <w:p w14:paraId="5EA7CBA8" w14:textId="77777777" w:rsidR="00D0563F" w:rsidRDefault="00000000">
            <w:pPr>
              <w:numPr>
                <w:ilvl w:val="0"/>
                <w:numId w:val="3"/>
              </w:numPr>
              <w:spacing w:after="46" w:line="242" w:lineRule="auto"/>
              <w:ind w:right="91" w:hanging="420"/>
              <w:jc w:val="both"/>
            </w:pPr>
            <w:r>
              <w:rPr>
                <w:sz w:val="20"/>
              </w:rPr>
              <w:t xml:space="preserve">One of the most profitable commodities for traders to trade is crude oil. </w:t>
            </w:r>
          </w:p>
          <w:p w14:paraId="663CE2A4" w14:textId="6B7CFE03" w:rsidR="00D0563F" w:rsidRDefault="00000000">
            <w:pPr>
              <w:numPr>
                <w:ilvl w:val="0"/>
                <w:numId w:val="3"/>
              </w:numPr>
              <w:spacing w:line="234" w:lineRule="auto"/>
              <w:ind w:right="91" w:hanging="420"/>
              <w:jc w:val="both"/>
            </w:pPr>
            <w:r w:rsidRPr="00021E99">
              <w:rPr>
                <w:rFonts w:ascii="Batang" w:eastAsia="Batang" w:hAnsi="Batang"/>
                <w:b/>
                <w:color w:val="5E6167"/>
                <w:sz w:val="20"/>
              </w:rPr>
              <w:t xml:space="preserve">To </w:t>
            </w:r>
            <w:r w:rsidR="00021E99" w:rsidRPr="00021E99">
              <w:rPr>
                <w:rFonts w:ascii="Batang" w:eastAsia="Batang" w:hAnsi="Batang"/>
                <w:b/>
                <w:color w:val="5E6167"/>
                <w:sz w:val="20"/>
              </w:rPr>
              <w:t>predict</w:t>
            </w:r>
            <w:r w:rsidRPr="00021E99">
              <w:rPr>
                <w:rFonts w:ascii="Batang" w:eastAsia="Batang" w:hAnsi="Batang"/>
                <w:b/>
                <w:color w:val="5E6167"/>
                <w:sz w:val="20"/>
              </w:rPr>
              <w:t xml:space="preserve"> the price of crude oil, RNN and LSTM models are employed as the benchmark model</w:t>
            </w:r>
            <w:r>
              <w:rPr>
                <w:b/>
                <w:color w:val="5E6167"/>
                <w:sz w:val="20"/>
              </w:rPr>
              <w:t>.</w:t>
            </w:r>
            <w:r>
              <w:rPr>
                <w:b/>
                <w:sz w:val="20"/>
              </w:rPr>
              <w:t xml:space="preserve"> </w:t>
            </w:r>
          </w:p>
          <w:p w14:paraId="48CF9C06" w14:textId="77777777" w:rsidR="00D0563F" w:rsidRDefault="00000000">
            <w:pPr>
              <w:ind w:left="420"/>
            </w:pPr>
            <w:r>
              <w:rPr>
                <w:b/>
                <w:sz w:val="20"/>
              </w:rPr>
              <w:t xml:space="preserve"> </w:t>
            </w:r>
          </w:p>
        </w:tc>
      </w:tr>
      <w:tr w:rsidR="00D0563F" w14:paraId="58171009" w14:textId="77777777">
        <w:trPr>
          <w:trHeight w:val="1212"/>
        </w:trPr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89ED1" w14:textId="77777777" w:rsidR="00D0563F" w:rsidRDefault="00000000">
            <w:pPr>
              <w:ind w:left="62"/>
              <w:jc w:val="center"/>
            </w:pPr>
            <w:r>
              <w:t xml:space="preserve">6. </w:t>
            </w:r>
          </w:p>
        </w:tc>
        <w:tc>
          <w:tcPr>
            <w:tcW w:w="3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1A074" w14:textId="77777777" w:rsidR="00D0563F" w:rsidRDefault="00000000">
            <w:pPr>
              <w:ind w:left="7"/>
            </w:pPr>
            <w:r>
              <w:rPr>
                <w:color w:val="202020"/>
              </w:rPr>
              <w:t>Scalability of the Solution</w:t>
            </w:r>
            <w:r>
              <w:t xml:space="preserve"> </w:t>
            </w:r>
          </w:p>
        </w:tc>
        <w:tc>
          <w:tcPr>
            <w:tcW w:w="4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54487" w14:textId="77777777" w:rsidR="00D0563F" w:rsidRDefault="00000000">
            <w:pPr>
              <w:numPr>
                <w:ilvl w:val="0"/>
                <w:numId w:val="4"/>
              </w:numPr>
              <w:spacing w:after="32" w:line="244" w:lineRule="auto"/>
              <w:ind w:hanging="420"/>
            </w:pPr>
            <w:r>
              <w:rPr>
                <w:sz w:val="20"/>
              </w:rPr>
              <w:t>The dimensions of the data are reduced using the PCA, MDS, and LLE methods.</w:t>
            </w:r>
            <w:r>
              <w:rPr>
                <w:rFonts w:ascii="Wingdings" w:eastAsia="Wingdings" w:hAnsi="Wingdings" w:cs="Wingdings"/>
                <w:sz w:val="20"/>
              </w:rPr>
              <w:t></w:t>
            </w:r>
          </w:p>
          <w:p w14:paraId="2882C656" w14:textId="77777777" w:rsidR="00D0563F" w:rsidRDefault="00000000">
            <w:pPr>
              <w:numPr>
                <w:ilvl w:val="0"/>
                <w:numId w:val="4"/>
              </w:numPr>
              <w:spacing w:line="243" w:lineRule="auto"/>
              <w:ind w:hanging="420"/>
            </w:pPr>
            <w:r>
              <w:rPr>
                <w:sz w:val="20"/>
              </w:rPr>
              <w:t>RNN and LSTM model accuracy should be increased.</w:t>
            </w:r>
            <w:r>
              <w:rPr>
                <w:rFonts w:ascii="Wingdings" w:eastAsia="Wingdings" w:hAnsi="Wingdings" w:cs="Wingdings"/>
                <w:sz w:val="20"/>
              </w:rPr>
              <w:t></w:t>
            </w:r>
          </w:p>
          <w:p w14:paraId="3BFF9C2C" w14:textId="77777777" w:rsidR="00D0563F" w:rsidRDefault="00000000">
            <w:pPr>
              <w:ind w:left="420"/>
            </w:pPr>
            <w:r>
              <w:rPr>
                <w:rFonts w:ascii="Wingdings" w:eastAsia="Wingdings" w:hAnsi="Wingdings" w:cs="Wingdings"/>
                <w:sz w:val="20"/>
              </w:rPr>
              <w:t></w:t>
            </w:r>
          </w:p>
        </w:tc>
      </w:tr>
    </w:tbl>
    <w:p w14:paraId="07CF1120" w14:textId="77777777" w:rsidR="00D0563F" w:rsidRDefault="00000000">
      <w:pPr>
        <w:spacing w:after="0"/>
      </w:pPr>
      <w:r>
        <w:t xml:space="preserve"> </w:t>
      </w:r>
    </w:p>
    <w:sectPr w:rsidR="00D0563F">
      <w:pgSz w:w="11911" w:h="16841"/>
      <w:pgMar w:top="1440" w:right="1440" w:bottom="1279" w:left="121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256A7"/>
    <w:multiLevelType w:val="hybridMultilevel"/>
    <w:tmpl w:val="3C3C3E12"/>
    <w:lvl w:ilvl="0" w:tplc="A1A83602">
      <w:start w:val="1"/>
      <w:numFmt w:val="bullet"/>
      <w:lvlText w:val=""/>
      <w:lvlJc w:val="left"/>
      <w:pPr>
        <w:ind w:left="4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B784510">
      <w:start w:val="1"/>
      <w:numFmt w:val="bullet"/>
      <w:lvlText w:val="o"/>
      <w:lvlJc w:val="left"/>
      <w:pPr>
        <w:ind w:left="119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852AEDC">
      <w:start w:val="1"/>
      <w:numFmt w:val="bullet"/>
      <w:lvlText w:val="▪"/>
      <w:lvlJc w:val="left"/>
      <w:pPr>
        <w:ind w:left="191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9C853D4">
      <w:start w:val="1"/>
      <w:numFmt w:val="bullet"/>
      <w:lvlText w:val="•"/>
      <w:lvlJc w:val="left"/>
      <w:pPr>
        <w:ind w:left="263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F98FB1C">
      <w:start w:val="1"/>
      <w:numFmt w:val="bullet"/>
      <w:lvlText w:val="o"/>
      <w:lvlJc w:val="left"/>
      <w:pPr>
        <w:ind w:left="335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3A6FEA8">
      <w:start w:val="1"/>
      <w:numFmt w:val="bullet"/>
      <w:lvlText w:val="▪"/>
      <w:lvlJc w:val="left"/>
      <w:pPr>
        <w:ind w:left="407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1AE6AE0">
      <w:start w:val="1"/>
      <w:numFmt w:val="bullet"/>
      <w:lvlText w:val="•"/>
      <w:lvlJc w:val="left"/>
      <w:pPr>
        <w:ind w:left="479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4403D7E">
      <w:start w:val="1"/>
      <w:numFmt w:val="bullet"/>
      <w:lvlText w:val="o"/>
      <w:lvlJc w:val="left"/>
      <w:pPr>
        <w:ind w:left="551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6A03C82">
      <w:start w:val="1"/>
      <w:numFmt w:val="bullet"/>
      <w:lvlText w:val="▪"/>
      <w:lvlJc w:val="left"/>
      <w:pPr>
        <w:ind w:left="623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83A3EBD"/>
    <w:multiLevelType w:val="hybridMultilevel"/>
    <w:tmpl w:val="571E7012"/>
    <w:lvl w:ilvl="0" w:tplc="F590300A">
      <w:start w:val="1"/>
      <w:numFmt w:val="bullet"/>
      <w:lvlText w:val=""/>
      <w:lvlJc w:val="left"/>
      <w:pPr>
        <w:ind w:left="4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15E99D8">
      <w:start w:val="1"/>
      <w:numFmt w:val="bullet"/>
      <w:lvlText w:val="o"/>
      <w:lvlJc w:val="left"/>
      <w:pPr>
        <w:ind w:left="119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A0CAC8A">
      <w:start w:val="1"/>
      <w:numFmt w:val="bullet"/>
      <w:lvlText w:val="▪"/>
      <w:lvlJc w:val="left"/>
      <w:pPr>
        <w:ind w:left="191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8BCA3F0">
      <w:start w:val="1"/>
      <w:numFmt w:val="bullet"/>
      <w:lvlText w:val="•"/>
      <w:lvlJc w:val="left"/>
      <w:pPr>
        <w:ind w:left="263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A62EFD4">
      <w:start w:val="1"/>
      <w:numFmt w:val="bullet"/>
      <w:lvlText w:val="o"/>
      <w:lvlJc w:val="left"/>
      <w:pPr>
        <w:ind w:left="335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CD4BE78">
      <w:start w:val="1"/>
      <w:numFmt w:val="bullet"/>
      <w:lvlText w:val="▪"/>
      <w:lvlJc w:val="left"/>
      <w:pPr>
        <w:ind w:left="407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F46F63C">
      <w:start w:val="1"/>
      <w:numFmt w:val="bullet"/>
      <w:lvlText w:val="•"/>
      <w:lvlJc w:val="left"/>
      <w:pPr>
        <w:ind w:left="479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B04BF16">
      <w:start w:val="1"/>
      <w:numFmt w:val="bullet"/>
      <w:lvlText w:val="o"/>
      <w:lvlJc w:val="left"/>
      <w:pPr>
        <w:ind w:left="551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6A0068E">
      <w:start w:val="1"/>
      <w:numFmt w:val="bullet"/>
      <w:lvlText w:val="▪"/>
      <w:lvlJc w:val="left"/>
      <w:pPr>
        <w:ind w:left="623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BAB57C1"/>
    <w:multiLevelType w:val="hybridMultilevel"/>
    <w:tmpl w:val="8B608B10"/>
    <w:lvl w:ilvl="0" w:tplc="6D304D42">
      <w:start w:val="1"/>
      <w:numFmt w:val="bullet"/>
      <w:lvlText w:val=""/>
      <w:lvlJc w:val="left"/>
      <w:pPr>
        <w:ind w:left="4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418C3C8">
      <w:start w:val="1"/>
      <w:numFmt w:val="bullet"/>
      <w:lvlText w:val="o"/>
      <w:lvlJc w:val="left"/>
      <w:pPr>
        <w:ind w:left="119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CB8C544">
      <w:start w:val="1"/>
      <w:numFmt w:val="bullet"/>
      <w:lvlText w:val="▪"/>
      <w:lvlJc w:val="left"/>
      <w:pPr>
        <w:ind w:left="191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C901FB0">
      <w:start w:val="1"/>
      <w:numFmt w:val="bullet"/>
      <w:lvlText w:val="•"/>
      <w:lvlJc w:val="left"/>
      <w:pPr>
        <w:ind w:left="263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5E299D4">
      <w:start w:val="1"/>
      <w:numFmt w:val="bullet"/>
      <w:lvlText w:val="o"/>
      <w:lvlJc w:val="left"/>
      <w:pPr>
        <w:ind w:left="335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05CA87E">
      <w:start w:val="1"/>
      <w:numFmt w:val="bullet"/>
      <w:lvlText w:val="▪"/>
      <w:lvlJc w:val="left"/>
      <w:pPr>
        <w:ind w:left="407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17C511A">
      <w:start w:val="1"/>
      <w:numFmt w:val="bullet"/>
      <w:lvlText w:val="•"/>
      <w:lvlJc w:val="left"/>
      <w:pPr>
        <w:ind w:left="479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185212">
      <w:start w:val="1"/>
      <w:numFmt w:val="bullet"/>
      <w:lvlText w:val="o"/>
      <w:lvlJc w:val="left"/>
      <w:pPr>
        <w:ind w:left="551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05A8E2A">
      <w:start w:val="1"/>
      <w:numFmt w:val="bullet"/>
      <w:lvlText w:val="▪"/>
      <w:lvlJc w:val="left"/>
      <w:pPr>
        <w:ind w:left="623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4724E75"/>
    <w:multiLevelType w:val="hybridMultilevel"/>
    <w:tmpl w:val="243EA6A0"/>
    <w:lvl w:ilvl="0" w:tplc="F500A9FE">
      <w:start w:val="1"/>
      <w:numFmt w:val="bullet"/>
      <w:lvlText w:val=""/>
      <w:lvlJc w:val="left"/>
      <w:pPr>
        <w:ind w:left="4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5DA6EBE">
      <w:start w:val="1"/>
      <w:numFmt w:val="bullet"/>
      <w:lvlText w:val="o"/>
      <w:lvlJc w:val="left"/>
      <w:pPr>
        <w:ind w:left="119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53CAEA0">
      <w:start w:val="1"/>
      <w:numFmt w:val="bullet"/>
      <w:lvlText w:val="▪"/>
      <w:lvlJc w:val="left"/>
      <w:pPr>
        <w:ind w:left="191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12E0568">
      <w:start w:val="1"/>
      <w:numFmt w:val="bullet"/>
      <w:lvlText w:val="•"/>
      <w:lvlJc w:val="left"/>
      <w:pPr>
        <w:ind w:left="263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93C8502">
      <w:start w:val="1"/>
      <w:numFmt w:val="bullet"/>
      <w:lvlText w:val="o"/>
      <w:lvlJc w:val="left"/>
      <w:pPr>
        <w:ind w:left="335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444841C">
      <w:start w:val="1"/>
      <w:numFmt w:val="bullet"/>
      <w:lvlText w:val="▪"/>
      <w:lvlJc w:val="left"/>
      <w:pPr>
        <w:ind w:left="407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D2E9D9C">
      <w:start w:val="1"/>
      <w:numFmt w:val="bullet"/>
      <w:lvlText w:val="•"/>
      <w:lvlJc w:val="left"/>
      <w:pPr>
        <w:ind w:left="479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A5692EA">
      <w:start w:val="1"/>
      <w:numFmt w:val="bullet"/>
      <w:lvlText w:val="o"/>
      <w:lvlJc w:val="left"/>
      <w:pPr>
        <w:ind w:left="551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FE5DAE">
      <w:start w:val="1"/>
      <w:numFmt w:val="bullet"/>
      <w:lvlText w:val="▪"/>
      <w:lvlJc w:val="left"/>
      <w:pPr>
        <w:ind w:left="623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23284307">
    <w:abstractNumId w:val="3"/>
  </w:num>
  <w:num w:numId="2" w16cid:durableId="86469007">
    <w:abstractNumId w:val="2"/>
  </w:num>
  <w:num w:numId="3" w16cid:durableId="20596124">
    <w:abstractNumId w:val="1"/>
  </w:num>
  <w:num w:numId="4" w16cid:durableId="2706659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63F"/>
    <w:rsid w:val="00021E99"/>
    <w:rsid w:val="005A6B4D"/>
    <w:rsid w:val="00D0563F"/>
    <w:rsid w:val="00D24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D036A"/>
  <w15:docId w15:val="{23E0C2C8-41EB-4916-B84A-1DDF10D00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Proposed Solution Template.docx</vt:lpstr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Proposed Solution Template.docx</dc:title>
  <dc:subject/>
  <dc:creator>ELCOT</dc:creator>
  <cp:keywords/>
  <cp:lastModifiedBy>Shivam Mishra</cp:lastModifiedBy>
  <cp:revision>3</cp:revision>
  <dcterms:created xsi:type="dcterms:W3CDTF">2022-10-17T12:58:00Z</dcterms:created>
  <dcterms:modified xsi:type="dcterms:W3CDTF">2022-10-17T14:40:00Z</dcterms:modified>
</cp:coreProperties>
</file>