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BATCH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JEYASHREE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921319104079</w:t>
            </w:r>
            <w:r w:rsidDel="00000000" w:rsidR="00000000" w:rsidRPr="00000000">
              <w:rPr>
                <w:rtl w:val="0"/>
              </w:rPr>
            </w:r>
          </w:p>
        </w:tc>
      </w:tr>
    </w:tbl>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tbl>
      <w:tblPr>
        <w:tblStyle w:val="Table2"/>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35">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36">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37">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A">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40">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41">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42">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43">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44">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45">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47">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48">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9">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A">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B">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C">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D">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E">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F">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50">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51">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tbl>
      <w:tblPr>
        <w:tblStyle w:val="Table3"/>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73">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4PNk3FMdi4mP+ba237zf5lAg==">AMUW2mVSzIzZU2IJi9vsOxXROy04nYK3maz/bidg/hDtEddjvBMe2TO2v5VXQ/8KJKXB5NOd2qHysmS6DvhZOhSCKxGknDtqIf+eSUipUtSizeyb7u/VWRc=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