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CB26F" w14:textId="19E0BB20" w:rsidR="00C737B9" w:rsidRPr="00AC1B7C" w:rsidRDefault="00AC1B7C" w:rsidP="00AC1B7C">
      <w:pPr>
        <w:spacing w:after="531" w:line="259" w:lineRule="auto"/>
        <w:ind w:left="0" w:firstLine="0"/>
        <w:jc w:val="center"/>
        <w:rPr>
          <w:b/>
          <w:bCs/>
          <w:sz w:val="40"/>
          <w:szCs w:val="40"/>
          <w:u w:val="single"/>
        </w:rPr>
      </w:pPr>
      <w:r w:rsidRPr="00AC1B7C">
        <w:rPr>
          <w:rFonts w:ascii="Open Sans" w:hAnsi="Open Sans" w:cs="Open Sans"/>
          <w:b/>
          <w:bCs/>
          <w:color w:val="35475C"/>
          <w:sz w:val="40"/>
          <w:szCs w:val="40"/>
          <w:u w:val="single"/>
          <w:shd w:val="clear" w:color="auto" w:fill="FFFFFF"/>
        </w:rPr>
        <w:t>Plasma Donor Application</w:t>
      </w:r>
    </w:p>
    <w:p w14:paraId="28814EB0" w14:textId="16B4D047" w:rsidR="00C737B9" w:rsidRDefault="00136822">
      <w:pPr>
        <w:spacing w:after="531" w:line="259" w:lineRule="auto"/>
        <w:ind w:left="0" w:firstLine="0"/>
        <w:rPr>
          <w:sz w:val="34"/>
        </w:rPr>
      </w:pPr>
      <w:r>
        <w:rPr>
          <w:sz w:val="34"/>
        </w:rPr>
        <w:t>Domain   : Cloud Computing</w:t>
      </w:r>
    </w:p>
    <w:p w14:paraId="31A6FB93" w14:textId="4B7C8E38" w:rsidR="00136822" w:rsidRDefault="00136822">
      <w:pPr>
        <w:spacing w:after="531" w:line="259" w:lineRule="auto"/>
        <w:ind w:left="0" w:firstLine="0"/>
        <w:rPr>
          <w:sz w:val="34"/>
        </w:rPr>
      </w:pPr>
      <w:r>
        <w:rPr>
          <w:sz w:val="34"/>
        </w:rPr>
        <w:t>Team ID  : PNT2022TMID5058</w:t>
      </w:r>
      <w:r w:rsidR="00C61909">
        <w:rPr>
          <w:sz w:val="34"/>
        </w:rPr>
        <w:t>2</w:t>
      </w:r>
    </w:p>
    <w:p w14:paraId="499CADE6" w14:textId="7140AFB3" w:rsidR="00136822" w:rsidRDefault="00136822">
      <w:pPr>
        <w:spacing w:after="531" w:line="259" w:lineRule="auto"/>
        <w:ind w:left="0" w:firstLine="0"/>
        <w:rPr>
          <w:sz w:val="34"/>
        </w:rPr>
      </w:pPr>
      <w:r>
        <w:rPr>
          <w:sz w:val="34"/>
        </w:rPr>
        <w:t>Batch No :B7-1A3E</w:t>
      </w:r>
    </w:p>
    <w:p w14:paraId="59A168A0" w14:textId="3B7447A7" w:rsidR="00136822" w:rsidRDefault="00136822">
      <w:pPr>
        <w:spacing w:after="531" w:line="259" w:lineRule="auto"/>
        <w:ind w:left="0" w:firstLine="0"/>
        <w:rPr>
          <w:sz w:val="34"/>
        </w:rPr>
      </w:pPr>
      <w:r>
        <w:rPr>
          <w:sz w:val="34"/>
        </w:rPr>
        <w:t>Team Members Name:</w:t>
      </w:r>
    </w:p>
    <w:p w14:paraId="76EDA19D" w14:textId="5CD19A35" w:rsidR="00136822" w:rsidRDefault="00136822">
      <w:pPr>
        <w:spacing w:after="531" w:line="259" w:lineRule="auto"/>
        <w:ind w:left="0" w:firstLine="0"/>
        <w:rPr>
          <w:sz w:val="34"/>
        </w:rPr>
      </w:pPr>
      <w:r>
        <w:rPr>
          <w:sz w:val="34"/>
        </w:rPr>
        <w:t>Antony</w:t>
      </w:r>
      <w:r w:rsidR="00A97548">
        <w:rPr>
          <w:sz w:val="34"/>
        </w:rPr>
        <w:t xml:space="preserve"> </w:t>
      </w:r>
      <w:r>
        <w:rPr>
          <w:sz w:val="34"/>
        </w:rPr>
        <w:t>S</w:t>
      </w:r>
    </w:p>
    <w:p w14:paraId="1C08C68D" w14:textId="10EC6663" w:rsidR="00136822" w:rsidRDefault="00136822">
      <w:pPr>
        <w:spacing w:after="531" w:line="259" w:lineRule="auto"/>
        <w:ind w:left="0" w:firstLine="0"/>
        <w:rPr>
          <w:sz w:val="34"/>
        </w:rPr>
      </w:pPr>
      <w:r>
        <w:rPr>
          <w:sz w:val="34"/>
        </w:rPr>
        <w:t>Sathis</w:t>
      </w:r>
      <w:r w:rsidR="00A97548">
        <w:rPr>
          <w:sz w:val="34"/>
        </w:rPr>
        <w:t>h</w:t>
      </w:r>
      <w:r>
        <w:rPr>
          <w:sz w:val="34"/>
        </w:rPr>
        <w:t xml:space="preserve"> kumar</w:t>
      </w:r>
      <w:r w:rsidR="00A97548">
        <w:rPr>
          <w:sz w:val="34"/>
        </w:rPr>
        <w:t xml:space="preserve"> M</w:t>
      </w:r>
    </w:p>
    <w:p w14:paraId="5820AED1" w14:textId="35018F87" w:rsidR="00A97548" w:rsidRDefault="00A97548">
      <w:pPr>
        <w:spacing w:after="531" w:line="259" w:lineRule="auto"/>
        <w:ind w:left="0" w:firstLine="0"/>
        <w:rPr>
          <w:sz w:val="34"/>
        </w:rPr>
      </w:pPr>
      <w:r>
        <w:rPr>
          <w:sz w:val="34"/>
        </w:rPr>
        <w:t>Shanmugapriyan T</w:t>
      </w:r>
    </w:p>
    <w:p w14:paraId="17EC0483" w14:textId="10176755" w:rsidR="00A97548" w:rsidRDefault="00A97548">
      <w:pPr>
        <w:spacing w:after="531" w:line="259" w:lineRule="auto"/>
        <w:ind w:left="0" w:firstLine="0"/>
        <w:rPr>
          <w:sz w:val="34"/>
        </w:rPr>
      </w:pPr>
      <w:r>
        <w:rPr>
          <w:sz w:val="34"/>
        </w:rPr>
        <w:t>Joshva D</w:t>
      </w:r>
    </w:p>
    <w:p w14:paraId="18CF87CA" w14:textId="77777777" w:rsidR="00136822" w:rsidRDefault="00136822">
      <w:pPr>
        <w:spacing w:after="531" w:line="259" w:lineRule="auto"/>
        <w:ind w:left="0" w:firstLine="0"/>
        <w:rPr>
          <w:sz w:val="34"/>
        </w:rPr>
      </w:pPr>
    </w:p>
    <w:p w14:paraId="49D1CC04" w14:textId="28964928" w:rsidR="00877114" w:rsidRDefault="00A97548">
      <w:pPr>
        <w:spacing w:after="531" w:line="259" w:lineRule="auto"/>
        <w:ind w:left="0" w:firstLine="0"/>
      </w:pPr>
      <w:r>
        <w:rPr>
          <w:sz w:val="34"/>
        </w:rPr>
        <w:t>Literature Survey</w:t>
      </w:r>
    </w:p>
    <w:p w14:paraId="108C92BF" w14:textId="77777777" w:rsidR="00877114" w:rsidRDefault="00A97548">
      <w:pPr>
        <w:pStyle w:val="Heading1"/>
        <w:ind w:left="-5"/>
      </w:pPr>
      <w:r>
        <w:t>How to Motivate Whole Blood Donors to Become Plasma Donors</w:t>
      </w:r>
    </w:p>
    <w:p w14:paraId="7BE652F8" w14:textId="77777777" w:rsidR="00877114" w:rsidRDefault="00A97548">
      <w:pPr>
        <w:spacing w:after="607"/>
        <w:ind w:left="0" w:firstLine="0"/>
      </w:pPr>
      <w:r>
        <w:rPr>
          <w:sz w:val="18"/>
        </w:rPr>
        <w:t xml:space="preserve">Gaston Godin, Marc Germain, "How to Motivate Whole Blood Donors to Become Plasma Donors", Journal of Blood Transfusion, vol. 2014, Article ID 752182, 6 pages, 2014. </w:t>
      </w:r>
      <w:hyperlink r:id="rId4">
        <w:r>
          <w:rPr>
            <w:color w:val="1155CC"/>
            <w:sz w:val="18"/>
            <w:u w:val="single" w:color="1155CC"/>
          </w:rPr>
          <w:t>https://doi.org/10.1155/2014/752182</w:t>
        </w:r>
      </w:hyperlink>
    </w:p>
    <w:p w14:paraId="4E09ED07" w14:textId="77777777" w:rsidR="00877114" w:rsidRDefault="00A97548">
      <w:pPr>
        <w:spacing w:after="0"/>
        <w:ind w:left="-5"/>
      </w:pPr>
      <w:r>
        <w:rPr>
          <w:sz w:val="22"/>
        </w:rPr>
        <w:lastRenderedPageBreak/>
        <w:t>This study tested the efficacy of interventions to recruit new plasma donors among whole blood donors. A sample of 924 donors was randomized to one of three conditions:</w:t>
      </w:r>
    </w:p>
    <w:p w14:paraId="6DD705F9" w14:textId="77777777" w:rsidR="00877114" w:rsidRDefault="00A97548">
      <w:pPr>
        <w:spacing w:after="0"/>
        <w:ind w:left="730" w:right="2494"/>
      </w:pPr>
      <w:r>
        <w:rPr>
          <w:sz w:val="22"/>
        </w:rPr>
        <w:t>control; information only by nurse; information plus self-positive image message by nurse (SPI).</w:t>
      </w:r>
    </w:p>
    <w:p w14:paraId="6D0D18E4" w14:textId="77777777" w:rsidR="00877114" w:rsidRDefault="00A97548">
      <w:pPr>
        <w:spacing w:after="1609"/>
        <w:ind w:left="-5"/>
      </w:pPr>
      <w:r>
        <w:rPr>
          <w:sz w:val="22"/>
        </w:rPr>
        <w:t>Participants in the control condition only received a leaflet describing the plasma donation procedure. In the two experimental conditions the leaflet was explained face-to-face by a nurse. The dependent variables were the proportion of new plasma donors and the number of donations at six months. Overall, 141 (15.3%) new plasma donors were recruited at six months. There were higher proportions of new plasma donors in the two experimental conditions compared to the control condition. The results suggest that references to feelings of SPI such as feeling good and being proud and that giving plasma is a rewarding personal experience favor a higher frequency of plasma donation.</w:t>
      </w:r>
    </w:p>
    <w:p w14:paraId="2A80D159" w14:textId="77777777" w:rsidR="00877114" w:rsidRDefault="00A97548">
      <w:pPr>
        <w:pStyle w:val="Heading1"/>
        <w:ind w:left="-5"/>
      </w:pPr>
      <w:r>
        <w:t>Web Based Blood Donation Management System (BDMS) and Notifications</w:t>
      </w:r>
    </w:p>
    <w:p w14:paraId="2AEC1A2D" w14:textId="77777777" w:rsidR="00877114" w:rsidRDefault="00A97548">
      <w:pPr>
        <w:spacing w:after="397" w:line="259" w:lineRule="auto"/>
        <w:ind w:left="-5"/>
      </w:pPr>
      <w:r>
        <w:rPr>
          <w:sz w:val="20"/>
        </w:rPr>
        <w:t>B M, Shashikala &amp; Pushpalatha, M. &amp; Vijaya, B.. (2018). Web Based Blood Donation Management System (BDMS) and Notifications. 10.1007/978-981-10-9059-2_12.</w:t>
      </w:r>
    </w:p>
    <w:p w14:paraId="3EB4F7D4" w14:textId="77777777" w:rsidR="00877114" w:rsidRDefault="00A97548">
      <w:pPr>
        <w:ind w:left="-5"/>
      </w:pPr>
      <w:r>
        <w:t>Only 40 lakh units of blood is available out of about 4 crore units of blood in each year in the nation. The direct contact between the donor and the recipient is not offered by many of the blood banks. This is critical when there is an emergency in need of blood. This aims to provide a direct link between the donor and the recipient. In this paper the blood donation management system (BDMS) is a web based application, which helps to manage the record of donors. Through a web interface a blood bank database is created. In a central server the collected data is stored. Mobile application is used for sending notification via text message by using bulk message dispatch technique for providing the communication between the donor and the recipient. The recipient can also contact the donor with the help of the contact details available. Blood donors can also be searched from the mobile application, it is accessible only for registered members. The focus is to find blood donors in an emergency situation and to provide a direct link between the donor and the recipient.</w:t>
      </w:r>
    </w:p>
    <w:p w14:paraId="3F9464CB" w14:textId="77777777" w:rsidR="00877114" w:rsidRDefault="00A97548">
      <w:pPr>
        <w:pStyle w:val="Heading1"/>
        <w:ind w:left="-5"/>
      </w:pPr>
      <w:r>
        <w:lastRenderedPageBreak/>
        <w:t>Blood Notes: Software System for Promoting and Facilitating Blood Donation</w:t>
      </w:r>
    </w:p>
    <w:p w14:paraId="3AEBA559" w14:textId="77777777" w:rsidR="00877114" w:rsidRDefault="00A97548">
      <w:pPr>
        <w:spacing w:after="50" w:line="259" w:lineRule="auto"/>
        <w:ind w:left="-5"/>
      </w:pPr>
      <w:r>
        <w:rPr>
          <w:sz w:val="20"/>
        </w:rPr>
        <w:t>Hunor Hegedüs; Kata Szász; Károly Simon; Tibor Fazakas; Andor Mihály; Katalin Nagy (2020).  2019</w:t>
      </w:r>
    </w:p>
    <w:p w14:paraId="7D332CDB" w14:textId="77777777" w:rsidR="00877114" w:rsidRDefault="00A97548">
      <w:pPr>
        <w:spacing w:after="50" w:line="259" w:lineRule="auto"/>
        <w:ind w:left="-5"/>
      </w:pPr>
      <w:r>
        <w:rPr>
          <w:sz w:val="20"/>
        </w:rPr>
        <w:t>IEEE 17th International Symposium on Intelligent Systems and Informatics (SISY)</w:t>
      </w:r>
    </w:p>
    <w:p w14:paraId="2F4CD27C" w14:textId="77777777" w:rsidR="00877114" w:rsidRDefault="00A97548">
      <w:pPr>
        <w:spacing w:after="406" w:line="259" w:lineRule="auto"/>
        <w:ind w:left="-5"/>
      </w:pPr>
      <w:r>
        <w:rPr>
          <w:sz w:val="20"/>
        </w:rPr>
        <w:t>10.1109/SISY47553.2019.9111536</w:t>
      </w:r>
    </w:p>
    <w:p w14:paraId="31339B84" w14:textId="77777777" w:rsidR="00877114" w:rsidRDefault="00A97548">
      <w:pPr>
        <w:ind w:left="-5"/>
      </w:pPr>
      <w:r>
        <w:t>The Blood Notes project seeks to promote and support blood donation in order to maintain an efficient and long-lasting line of communication between the initiative's two target audiences. People who are willing to donate blood are among the target audience. They can utilize the system's mobile application to schedule and record their contributions, get notifications, and receive helpful information about the blood donation procedure. The staff at blood donation clinics is among the other target audience. They can deliver messages about the most recent blood shortages and manage the educational data presented through the mobile application using a web application. A central server, a mobile app for donors that runs on iOS and Android, and a web app for the staff at blood donation centers make up the three primary parts of the software system. In addition to outlining the system's functionality and design, the document also lists the technologies and development tools that were employed.</w:t>
      </w:r>
    </w:p>
    <w:sectPr w:rsidR="00877114">
      <w:pgSz w:w="12240" w:h="15840"/>
      <w:pgMar w:top="1440" w:right="1461" w:bottom="1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114"/>
    <w:rsid w:val="00136822"/>
    <w:rsid w:val="00877114"/>
    <w:rsid w:val="00A97548"/>
    <w:rsid w:val="00AC1B7C"/>
    <w:rsid w:val="00C61909"/>
    <w:rsid w:val="00C73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28F7"/>
  <w15:docId w15:val="{A06B5788-E783-4C54-A81E-C1A86597A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71" w:line="308"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407"/>
      <w:ind w:left="10" w:hanging="10"/>
      <w:outlineLvl w:val="0"/>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55/2014/752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Literature Survey</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dc:title>
  <dc:subject/>
  <dc:creator>Mark Antony</dc:creator>
  <cp:keywords/>
  <cp:lastModifiedBy>Mark Antony</cp:lastModifiedBy>
  <cp:revision>3</cp:revision>
  <dcterms:created xsi:type="dcterms:W3CDTF">2022-09-27T09:40:00Z</dcterms:created>
  <dcterms:modified xsi:type="dcterms:W3CDTF">2022-09-27T12:15:00Z</dcterms:modified>
</cp:coreProperties>
</file>