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PNT2022TMID</w:t>
            </w:r>
            <w:r w:rsidR="00D51DB3">
              <w:t>50577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 w:rsidP="00D51DB3">
            <w:pPr>
              <w:pStyle w:val="TableParagraph"/>
              <w:spacing w:line="265" w:lineRule="exact"/>
              <w:ind w:left="107" w:firstLine="0"/>
            </w:pPr>
            <w:r>
              <w:t xml:space="preserve">Project – </w:t>
            </w:r>
            <w:r w:rsidR="00D51DB3">
              <w:t>Nutrition assistant application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7F731B" w:rsidRPr="00117161" w:rsidRDefault="00117161" w:rsidP="00466926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ind w:right="261"/>
              <w:rPr>
                <w:color w:val="262626" w:themeColor="text1" w:themeTint="D9"/>
              </w:rPr>
            </w:pPr>
            <w:r w:rsidRPr="00117161">
              <w:rPr>
                <w:rFonts w:ascii="Arial" w:hAnsi="Arial" w:cs="Arial"/>
                <w:color w:val="262626" w:themeColor="text1" w:themeTint="D9"/>
                <w:shd w:val="clear" w:color="auto" w:fill="FFFFFF"/>
              </w:rPr>
              <w:t xml:space="preserve">Wellness and healthy lifestyles have become </w:t>
            </w:r>
            <w:proofErr w:type="gramStart"/>
            <w:r w:rsidRPr="00117161">
              <w:rPr>
                <w:rFonts w:ascii="Arial" w:hAnsi="Arial" w:cs="Arial"/>
                <w:color w:val="262626" w:themeColor="text1" w:themeTint="D9"/>
                <w:shd w:val="clear" w:color="auto" w:fill="FFFFFF"/>
              </w:rPr>
              <w:t>mainstream</w:t>
            </w:r>
            <w:proofErr w:type="gramEnd"/>
            <w:r w:rsidRPr="00117161">
              <w:rPr>
                <w:rFonts w:ascii="Arial" w:hAnsi="Arial" w:cs="Arial"/>
                <w:color w:val="262626" w:themeColor="text1" w:themeTint="D9"/>
                <w:shd w:val="clear" w:color="auto" w:fill="FFFFFF"/>
              </w:rPr>
              <w:t>. Interest in fitness applications and revenue from them grow as fast as the number of people striving to be fit.</w:t>
            </w:r>
          </w:p>
          <w:p w:rsidR="001D467C" w:rsidRPr="00117161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  <w:rPr>
                <w:color w:val="262626" w:themeColor="text1" w:themeTint="D9"/>
              </w:rPr>
            </w:pPr>
          </w:p>
          <w:p w:rsidR="001D467C" w:rsidRPr="00117161" w:rsidRDefault="00117161" w:rsidP="00466926">
            <w:pPr>
              <w:pStyle w:val="TableParagraph"/>
              <w:numPr>
                <w:ilvl w:val="0"/>
                <w:numId w:val="14"/>
              </w:numPr>
              <w:spacing w:line="250" w:lineRule="exact"/>
              <w:rPr>
                <w:color w:val="000000" w:themeColor="text1"/>
              </w:rPr>
            </w:pPr>
            <w:r w:rsidRPr="00117161">
              <w:rPr>
                <w:rFonts w:ascii="Arial" w:hAnsi="Arial" w:cs="Arial"/>
                <w:color w:val="000000" w:themeColor="text1"/>
                <w:shd w:val="clear" w:color="auto" w:fill="FFFFFF"/>
              </w:rPr>
              <w:t>Our food ontology and semantic recipe search engine make it possible to search for recipes using natural language queries, such as "gluten-free brownies without sugar" or "low-fat vegan cupcakes</w:t>
            </w:r>
            <w:proofErr w:type="gramStart"/>
            <w:r w:rsidRPr="00117161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="00281BD0" w:rsidRPr="00117161">
              <w:rPr>
                <w:color w:val="000000" w:themeColor="text1"/>
              </w:rPr>
              <w:t>.</w:t>
            </w:r>
            <w:proofErr w:type="gramEnd"/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Pr="009D6EE4" w:rsidRDefault="009D6EE4" w:rsidP="009D6EE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>Major nutritional problems include: 1) </w:t>
            </w:r>
            <w:r w:rsidRPr="009D6EE4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Maternal nutritional anemia; 2) protein energy malnutrition; 3) vitamin A deficiency; 4) lactation failure; 5) addiction to milk feeding</w:t>
            </w:r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>; and 6) inadequate preparation and use of artificial milk products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9D6EE4" w:rsidRPr="009D6EE4" w:rsidRDefault="009D6EE4" w:rsidP="009D6EE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>Conversely, other adolescents develop problems with unhealthy and extremely restrictive dieting without meeting the minimum nutritional requirements necessary for healthy growth and development.</w:t>
            </w:r>
          </w:p>
          <w:p w:rsidR="009D6EE4" w:rsidRPr="009D6EE4" w:rsidRDefault="009D6EE4" w:rsidP="009D6EE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  <w:rPr>
                <w:color w:val="000000" w:themeColor="text1"/>
              </w:rPr>
            </w:pPr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>Impaired nutritional status is not an expected part of normal aging. It may be associated with an increased risk of mortality and other negative outcomes such as </w:t>
            </w:r>
            <w:r w:rsidRPr="009D6EE4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impairment of anticipated wound healing.</w:t>
            </w: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9D6EE4" w:rsidRPr="009D6EE4" w:rsidRDefault="009D6EE4" w:rsidP="009D6EE4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>Unique Nutrition is a new company with the following goals</w:t>
            </w:r>
            <w:proofErr w:type="gramStart"/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>:-</w:t>
            </w:r>
            <w:proofErr w:type="gramEnd"/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 xml:space="preserve"> 1. </w:t>
            </w:r>
            <w:r w:rsidRPr="009D6EE4">
              <w:rPr>
                <w:rFonts w:ascii="Arial" w:hAnsi="Arial" w:cs="Arial"/>
                <w:bCs/>
                <w:color w:val="202124"/>
                <w:shd w:val="clear" w:color="auto" w:fill="FFFFFF"/>
              </w:rPr>
              <w:t>To supply high quality supplements that do the job they are supposed to</w:t>
            </w:r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</w:p>
          <w:p w:rsidR="001D467C" w:rsidRDefault="009D6EE4" w:rsidP="009D6EE4">
            <w:pPr>
              <w:pStyle w:val="TableParagraph"/>
              <w:tabs>
                <w:tab w:val="left" w:pos="828"/>
                <w:tab w:val="left" w:pos="829"/>
              </w:tabs>
              <w:ind w:right="198" w:firstLine="0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9D6EE4">
              <w:rPr>
                <w:rFonts w:ascii="Arial" w:hAnsi="Arial" w:cs="Arial"/>
                <w:color w:val="202124"/>
                <w:shd w:val="clear" w:color="auto" w:fill="FFFFFF"/>
              </w:rPr>
              <w:t>2. To supply unique products not available from anyone else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9D6EE4" w:rsidRPr="009D6EE4" w:rsidRDefault="009D6EE4" w:rsidP="009D6EE4">
            <w:pPr>
              <w:pStyle w:val="TableParagraph"/>
              <w:tabs>
                <w:tab w:val="left" w:pos="828"/>
                <w:tab w:val="left" w:pos="829"/>
              </w:tabs>
              <w:ind w:right="198" w:firstLine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9D6EE4" w:rsidRDefault="009D6EE4" w:rsidP="00466926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198"/>
            </w:pPr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An interactive ordering process empowers the individual, which can help boost satisfaction. Behind the scenes, nutrition </w:t>
            </w:r>
            <w:proofErr w:type="gramStart"/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>staff maintain</w:t>
            </w:r>
            <w:proofErr w:type="gramEnd"/>
            <w:r w:rsidRPr="009D6EE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ultimate control by selecting menus that take into account patient allergies and diet restrictions.</w:t>
            </w: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466926" w:rsidP="00466926">
            <w:pPr>
              <w:pStyle w:val="TableParagraph"/>
              <w:numPr>
                <w:ilvl w:val="0"/>
                <w:numId w:val="13"/>
              </w:numPr>
              <w:spacing w:line="258" w:lineRule="exact"/>
            </w:pPr>
            <w:r w:rsidRPr="00466926">
              <w:rPr>
                <w:rFonts w:ascii="Arial" w:hAnsi="Arial" w:cs="Arial"/>
                <w:color w:val="000000" w:themeColor="text1"/>
                <w:shd w:val="clear" w:color="auto" w:fill="FFFFFF"/>
              </w:rPr>
              <w:t>The relationship between an individual's social, psychological, and cultural environment and his or her nutritional status is one of both cause and effect. </w:t>
            </w:r>
            <w:r w:rsidRPr="00466926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Cultural patterns, economic stability, and attitudes toward health and disease</w:t>
            </w:r>
            <w:r w:rsidRPr="00466926">
              <w:rPr>
                <w:rFonts w:ascii="Arial" w:hAnsi="Arial" w:cs="Arial"/>
                <w:color w:val="000000" w:themeColor="text1"/>
                <w:shd w:val="clear" w:color="auto" w:fill="FFFFFF"/>
              </w:rPr>
              <w:t> all affect an individual's eating behavior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561DF2" w:rsidRDefault="00466926" w:rsidP="00561DF2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50"/>
              <w:rPr>
                <w:rFonts w:ascii="Arial" w:eastAsia="Times New Roman" w:hAnsi="Arial" w:cs="Arial"/>
                <w:color w:val="000000" w:themeColor="text1"/>
              </w:rPr>
            </w:pPr>
            <w:r w:rsidRPr="00561DF2">
              <w:rPr>
                <w:rFonts w:ascii="Arial" w:eastAsia="Times New Roman" w:hAnsi="Arial" w:cs="Arial"/>
                <w:color w:val="000000" w:themeColor="text1"/>
              </w:rPr>
              <w:t>Consider credentialing with insurance. ...</w:t>
            </w:r>
          </w:p>
          <w:p w:rsidR="00561DF2" w:rsidRDefault="00466926" w:rsidP="00561DF2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50"/>
              <w:rPr>
                <w:rFonts w:ascii="Arial" w:eastAsia="Times New Roman" w:hAnsi="Arial" w:cs="Arial"/>
                <w:color w:val="000000" w:themeColor="text1"/>
              </w:rPr>
            </w:pPr>
            <w:r w:rsidRPr="00561DF2">
              <w:rPr>
                <w:rFonts w:ascii="Arial" w:eastAsia="Times New Roman" w:hAnsi="Arial" w:cs="Arial"/>
                <w:color w:val="000000" w:themeColor="text1"/>
              </w:rPr>
              <w:t>List your nutrition business on professional directories. ...</w:t>
            </w:r>
          </w:p>
          <w:p w:rsidR="00561DF2" w:rsidRDefault="00466926" w:rsidP="00561DF2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50"/>
              <w:rPr>
                <w:rFonts w:ascii="Arial" w:eastAsia="Times New Roman" w:hAnsi="Arial" w:cs="Arial"/>
                <w:color w:val="000000" w:themeColor="text1"/>
              </w:rPr>
            </w:pPr>
            <w:r w:rsidRPr="00561DF2">
              <w:rPr>
                <w:rFonts w:ascii="Arial" w:eastAsia="Times New Roman" w:hAnsi="Arial" w:cs="Arial"/>
                <w:color w:val="000000" w:themeColor="text1"/>
              </w:rPr>
              <w:t>Create your Google Business listing. ...</w:t>
            </w:r>
          </w:p>
          <w:p w:rsidR="00561DF2" w:rsidRDefault="00466926" w:rsidP="00561DF2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50"/>
              <w:rPr>
                <w:rFonts w:ascii="Arial" w:eastAsia="Times New Roman" w:hAnsi="Arial" w:cs="Arial"/>
                <w:color w:val="000000" w:themeColor="text1"/>
              </w:rPr>
            </w:pPr>
            <w:r w:rsidRPr="00561DF2">
              <w:rPr>
                <w:rFonts w:ascii="Arial" w:eastAsia="Times New Roman" w:hAnsi="Arial" w:cs="Arial"/>
                <w:color w:val="000000" w:themeColor="text1"/>
              </w:rPr>
              <w:t>Start building your professional referral network. ...</w:t>
            </w:r>
          </w:p>
          <w:p w:rsidR="00466926" w:rsidRPr="00561DF2" w:rsidRDefault="00466926" w:rsidP="00561DF2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50"/>
              <w:rPr>
                <w:rFonts w:ascii="Arial" w:eastAsia="Times New Roman" w:hAnsi="Arial" w:cs="Arial"/>
                <w:color w:val="000000" w:themeColor="text1"/>
              </w:rPr>
            </w:pPr>
            <w:r w:rsidRPr="00561DF2">
              <w:rPr>
                <w:rFonts w:ascii="Arial" w:eastAsia="Times New Roman" w:hAnsi="Arial" w:cs="Arial"/>
                <w:color w:val="000000" w:themeColor="text1"/>
              </w:rPr>
              <w:t>Revamp and replenish your marketing resources.</w:t>
            </w:r>
          </w:p>
          <w:p w:rsidR="001D467C" w:rsidRDefault="001D467C" w:rsidP="00466926">
            <w:pPr>
              <w:pStyle w:val="TableParagraph"/>
              <w:tabs>
                <w:tab w:val="left" w:pos="1549"/>
              </w:tabs>
              <w:ind w:left="1548" w:right="197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936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1"/>
        <w:gridCol w:w="3780"/>
        <w:gridCol w:w="4658"/>
      </w:tblGrid>
      <w:tr w:rsidR="001D467C" w:rsidRPr="00561DF2" w:rsidTr="00561DF2">
        <w:trPr>
          <w:trHeight w:val="3191"/>
        </w:trPr>
        <w:tc>
          <w:tcPr>
            <w:tcW w:w="931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780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658" w:type="dxa"/>
          </w:tcPr>
          <w:tbl>
            <w:tblPr>
              <w:tblW w:w="9870" w:type="dxa"/>
              <w:tblBorders>
                <w:top w:val="single" w:sz="4" w:space="0" w:color="000000"/>
                <w:bottom w:val="single" w:sz="4" w:space="0" w:color="000000"/>
              </w:tblBorders>
              <w:shd w:val="clear" w:color="auto" w:fill="FFFCF0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68"/>
              <w:gridCol w:w="3802"/>
            </w:tblGrid>
            <w:tr w:rsidR="00561DF2" w:rsidRPr="00561DF2" w:rsidTr="00561DF2">
              <w:trPr>
                <w:trHeight w:val="1553"/>
              </w:trPr>
              <w:tc>
                <w:tcPr>
                  <w:tcW w:w="6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561DF2" w:rsidRPr="00561DF2" w:rsidRDefault="00561DF2" w:rsidP="00561DF2">
                  <w:pPr>
                    <w:pStyle w:val="ListParagraph"/>
                    <w:widowControl/>
                    <w:numPr>
                      <w:ilvl w:val="0"/>
                      <w:numId w:val="16"/>
                    </w:numPr>
                    <w:autoSpaceDE/>
                    <w:autoSpaceDN/>
                    <w:rPr>
                      <w:rFonts w:ascii="Cambria" w:eastAsia="Times New Roman" w:hAnsi="Cambria" w:cs="Times New Roman"/>
                      <w:b/>
                    </w:rPr>
                  </w:pPr>
                  <w:r w:rsidRPr="00561DF2">
                    <w:rPr>
                      <w:rFonts w:ascii="Cambria" w:eastAsia="Times New Roman" w:hAnsi="Cambria" w:cs="Times New Roman"/>
                      <w:b/>
                    </w:rPr>
                    <w:t>A lack of consistency in definitions of scaling up was apparent from the literature. Often, a certain type or aspect of scaling is discussed, rather than looking at the wider process in a multidimensional way.</w:t>
                  </w:r>
                </w:p>
              </w:tc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561DF2" w:rsidRPr="00561DF2" w:rsidRDefault="00561DF2" w:rsidP="00561DF2">
                  <w:pPr>
                    <w:widowControl/>
                    <w:autoSpaceDE/>
                    <w:autoSpaceDN/>
                    <w:rPr>
                      <w:rFonts w:ascii="Cambria" w:eastAsia="Times New Roman" w:hAnsi="Cambria" w:cs="Times New Roman"/>
                      <w:color w:val="000000" w:themeColor="text1"/>
                    </w:rPr>
                  </w:pPr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(</w:t>
                  </w:r>
                  <w:hyperlink r:id="rId5" w:anchor="b19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19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6" w:anchor="b21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21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7" w:anchor="b24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24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8" w:anchor="b27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27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9" w:anchor="b31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31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10" w:anchor="b33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33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–</w:t>
                  </w:r>
                  <w:hyperlink r:id="rId11" w:anchor="b39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39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12" w:anchor="b41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41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–</w:t>
                  </w:r>
                  <w:hyperlink r:id="rId13" w:anchor="b47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47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, </w:t>
                  </w:r>
                  <w:hyperlink r:id="rId14" w:anchor="b49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49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–</w:t>
                  </w:r>
                  <w:hyperlink r:id="rId15" w:anchor="b57" w:history="1">
                    <w:r w:rsidRPr="00561DF2">
                      <w:rPr>
                        <w:rFonts w:ascii="Cambria" w:eastAsia="Times New Roman" w:hAnsi="Cambria" w:cs="Times New Roman"/>
                        <w:color w:val="000000" w:themeColor="text1"/>
                        <w:u w:val="single"/>
                      </w:rPr>
                      <w:t>57</w:t>
                    </w:r>
                  </w:hyperlink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)</w:t>
                  </w:r>
                </w:p>
              </w:tc>
            </w:tr>
            <w:tr w:rsidR="00561DF2" w:rsidRPr="00561DF2" w:rsidTr="00561DF2">
              <w:trPr>
                <w:trHeight w:val="931"/>
              </w:trPr>
              <w:tc>
                <w:tcPr>
                  <w:tcW w:w="6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561DF2" w:rsidRPr="00561DF2" w:rsidRDefault="00561DF2" w:rsidP="00561DF2">
                  <w:pPr>
                    <w:widowControl/>
                    <w:autoSpaceDE/>
                    <w:autoSpaceDN/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38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561DF2" w:rsidRPr="00561DF2" w:rsidRDefault="00561DF2" w:rsidP="00561DF2">
                  <w:pPr>
                    <w:widowControl/>
                    <w:autoSpaceDE/>
                    <w:autoSpaceDN/>
                    <w:rPr>
                      <w:rFonts w:ascii="Cambria" w:eastAsia="Times New Roman" w:hAnsi="Cambria" w:cs="Times New Roman"/>
                      <w:color w:val="000000" w:themeColor="text1"/>
                    </w:rPr>
                  </w:pPr>
                  <w:r w:rsidRPr="00561DF2">
                    <w:rPr>
                      <w:rFonts w:ascii="Cambria" w:eastAsia="Times New Roman" w:hAnsi="Cambria" w:cs="Times New Roman"/>
                      <w:color w:val="000000" w:themeColor="text1"/>
                    </w:rPr>
                    <w:t>The start point for most articles is a particular intervention that is to be scaled.</w:t>
                  </w:r>
                </w:p>
              </w:tc>
            </w:tr>
          </w:tbl>
          <w:p w:rsidR="001D467C" w:rsidRPr="00561DF2" w:rsidRDefault="001D467C" w:rsidP="00561DF2">
            <w:pPr>
              <w:pStyle w:val="TableParagraph"/>
              <w:tabs>
                <w:tab w:val="left" w:pos="1548"/>
                <w:tab w:val="left" w:pos="1549"/>
              </w:tabs>
              <w:ind w:left="1188" w:right="99" w:firstLine="0"/>
              <w:rPr>
                <w:color w:val="000000" w:themeColor="text1"/>
              </w:rPr>
            </w:pPr>
          </w:p>
        </w:tc>
      </w:tr>
    </w:tbl>
    <w:p w:rsidR="00281BD0" w:rsidRDefault="00281BD0"/>
    <w:sectPr w:rsidR="00281BD0" w:rsidSect="000903C8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0CA963AE"/>
    <w:multiLevelType w:val="hybridMultilevel"/>
    <w:tmpl w:val="A8681A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302820AF"/>
    <w:multiLevelType w:val="hybridMultilevel"/>
    <w:tmpl w:val="2C42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75626"/>
    <w:multiLevelType w:val="hybridMultilevel"/>
    <w:tmpl w:val="59F0AF92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8">
    <w:nsid w:val="35DF680A"/>
    <w:multiLevelType w:val="multilevel"/>
    <w:tmpl w:val="250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5C35E9"/>
    <w:multiLevelType w:val="hybridMultilevel"/>
    <w:tmpl w:val="D30CF8D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11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2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13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4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5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4"/>
  </w:num>
  <w:num w:numId="5">
    <w:abstractNumId w:val="11"/>
  </w:num>
  <w:num w:numId="6">
    <w:abstractNumId w:val="15"/>
  </w:num>
  <w:num w:numId="7">
    <w:abstractNumId w:val="13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5"/>
  </w:num>
  <w:num w:numId="13">
    <w:abstractNumId w:val="9"/>
  </w:num>
  <w:num w:numId="14">
    <w:abstractNumId w:val="1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D467C"/>
    <w:rsid w:val="000903C8"/>
    <w:rsid w:val="00117161"/>
    <w:rsid w:val="001D467C"/>
    <w:rsid w:val="00281BD0"/>
    <w:rsid w:val="00466926"/>
    <w:rsid w:val="00561DF2"/>
    <w:rsid w:val="007F731B"/>
    <w:rsid w:val="00927328"/>
    <w:rsid w:val="009D6EE4"/>
    <w:rsid w:val="00D050B0"/>
    <w:rsid w:val="00D51DB3"/>
    <w:rsid w:val="00D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3C8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03C8"/>
  </w:style>
  <w:style w:type="paragraph" w:styleId="Title">
    <w:name w:val="Title"/>
    <w:basedOn w:val="Normal"/>
    <w:uiPriority w:val="1"/>
    <w:qFormat/>
    <w:rsid w:val="000903C8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903C8"/>
  </w:style>
  <w:style w:type="paragraph" w:customStyle="1" w:styleId="TableParagraph">
    <w:name w:val="Table Paragraph"/>
    <w:basedOn w:val="Normal"/>
    <w:uiPriority w:val="1"/>
    <w:qFormat/>
    <w:rsid w:val="000903C8"/>
    <w:pPr>
      <w:ind w:left="828" w:hanging="360"/>
    </w:pPr>
  </w:style>
  <w:style w:type="character" w:styleId="Hyperlink">
    <w:name w:val="Hyperlink"/>
    <w:basedOn w:val="DefaultParagraphFont"/>
    <w:uiPriority w:val="99"/>
    <w:semiHidden/>
    <w:unhideWhenUsed/>
    <w:rsid w:val="00561D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496740/" TargetMode="External"/><Relationship Id="rId13" Type="http://schemas.openxmlformats.org/officeDocument/2006/relationships/hyperlink" Target="https://www.ncbi.nlm.nih.gov/pmc/articles/PMC4496740/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96740/" TargetMode="External"/><Relationship Id="rId12" Type="http://schemas.openxmlformats.org/officeDocument/2006/relationships/hyperlink" Target="https://www.ncbi.nlm.nih.gov/pmc/articles/PMC449674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96740/" TargetMode="External"/><Relationship Id="rId11" Type="http://schemas.openxmlformats.org/officeDocument/2006/relationships/hyperlink" Target="https://www.ncbi.nlm.nih.gov/pmc/articles/PMC4496740/" TargetMode="External"/><Relationship Id="rId5" Type="http://schemas.openxmlformats.org/officeDocument/2006/relationships/hyperlink" Target="https://www.ncbi.nlm.nih.gov/pmc/articles/PMC4496740/" TargetMode="External"/><Relationship Id="rId15" Type="http://schemas.openxmlformats.org/officeDocument/2006/relationships/hyperlink" Target="https://www.ncbi.nlm.nih.gov/pmc/articles/PMC4496740/" TargetMode="External"/><Relationship Id="rId10" Type="http://schemas.openxmlformats.org/officeDocument/2006/relationships/hyperlink" Target="https://www.ncbi.nlm.nih.gov/pmc/articles/PMC44967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496740/" TargetMode="External"/><Relationship Id="rId14" Type="http://schemas.openxmlformats.org/officeDocument/2006/relationships/hyperlink" Target="https://www.ncbi.nlm.nih.gov/pmc/articles/PMC44967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2022-09-27T05:16:00Z</dcterms:created>
  <dcterms:modified xsi:type="dcterms:W3CDTF">2022-09-27T22:04:00Z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