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29</w:t>
            </w:r>
            <w:r>
              <w:rPr>
                <w:rFonts w:cstheme="minorHAnsi"/>
              </w:rP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B2-2M4E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IN"/>
              </w:rPr>
              <w:t>Smart Waste Management System for Metropolitan cites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 xml:space="preserve">Solution architecture is a complex process – with many sub-processes – that bridges the gap between business problems and technology solutions. 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rPr>
          <w:rFonts w:hint="default" w:cstheme="minorHAnsi"/>
          <w:b/>
          <w:bCs/>
          <w:lang w:val="en-IN"/>
        </w:rPr>
      </w:pP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6301740" cy="4344035"/>
            <wp:effectExtent l="0" t="0" r="3810" b="18415"/>
            <wp:docPr id="2" name="Picture 2" descr="smart wast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mart waste manag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26B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12</TotalTime>
  <ScaleCrop>false</ScaleCrop>
  <LinksUpToDate>false</LinksUpToDate>
  <CharactersWithSpaces>1116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4018-Ashley ebetha</cp:lastModifiedBy>
  <dcterms:modified xsi:type="dcterms:W3CDTF">2022-10-22T13:20:31Z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6FF8100FA4D1413EA2FB957CEEF72961</vt:lpwstr>
  </property>
</Properties>
</file>