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PNT2022TMID50324</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Nutrition Assistant Application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Many people become frustrated when they know they need to eat to get well but they aren't hungry, or when they gain weight because they are fatigued and unable to exercise.</w:t>
            </w:r>
          </w:p>
        </w:tc>
      </w:tr>
      <w:tr>
        <w:trPr>
          <w:cantSplit w:val="0"/>
          <w:trHeight w:val="817" w:hRule="atLeast"/>
          <w:tblHeader w:val="0"/>
        </w:trPr>
        <w:tc>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Here are tips to help get you the nutrition you need.</w:t>
            </w:r>
          </w:p>
        </w:tc>
      </w:tr>
      <w:tr>
        <w:trPr>
          <w:cantSplit w:val="0"/>
          <w:trHeight w:val="787" w:hRule="atLeast"/>
          <w:tblHeader w:val="0"/>
        </w:trPr>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It is our goal to show how long-term usage of a nutrition assistance system influences the users’ (a) physique, (b) nutrition behaviour, (c) system interaction and (d) system perception.</w:t>
            </w:r>
          </w:p>
        </w:tc>
      </w:tr>
      <w:tr>
        <w:trPr>
          <w:cantSplit w:val="0"/>
          <w:trHeight w:val="817" w:hRule="atLeast"/>
          <w:tblHeader w:val="0"/>
        </w:trPr>
        <w:tc>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 </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These applications offer the potential for active management and participation of customers in the process of improving their diet and health outcomes.</w:t>
            </w:r>
          </w:p>
        </w:tc>
      </w:tr>
      <w:tr>
        <w:trPr>
          <w:cantSplit w:val="0"/>
          <w:trHeight w:val="817" w:hRule="atLeast"/>
          <w:tblHeader w:val="0"/>
        </w:trPr>
        <w:tc>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The diet tracking of each user is done using a search interface. The user can either perform a free text search, select the food item from a tree structure, or select one of his recent or favourite items.</w:t>
            </w:r>
          </w:p>
        </w:tc>
      </w:tr>
      <w:tr>
        <w:trPr>
          <w:cantSplit w:val="0"/>
          <w:trHeight w:val="817" w:hRule="atLeast"/>
          <w:tblHeader w:val="0"/>
        </w:trPr>
        <w:tc>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3">
            <w:pPr>
              <w:rPr/>
            </w:pPr>
            <w:r w:rsidDel="00000000" w:rsidR="00000000" w:rsidRPr="00000000">
              <w:rPr>
                <w:rtl w:val="0"/>
              </w:rPr>
              <w:t xml:space="preserve">Food recommender systems have been implemented and evaluated using many different algorithms and evaluation methods. Most algorithmic solutions are based on standard content-based or collaborative filtering methods.</w:t>
            </w:r>
          </w:p>
        </w:tc>
      </w:tr>
    </w:tbl>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