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90C4" w14:textId="1B9BBA4F" w:rsidR="00F202AA" w:rsidRPr="00F202AA" w:rsidRDefault="000D0611" w:rsidP="00CB564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CB5647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CB5647" w:rsidRPr="00F202AA" w:rsidRDefault="00CB5647" w:rsidP="00CB56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56ADC2B5" w:rsidR="00CB5647" w:rsidRPr="00F202AA" w:rsidRDefault="00CB5647" w:rsidP="00CB56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52665</w:t>
            </w:r>
          </w:p>
        </w:tc>
      </w:tr>
      <w:tr w:rsidR="00CB5647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CB5647" w:rsidRPr="00F202AA" w:rsidRDefault="00CB5647" w:rsidP="00CB56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7D6E7291" w:rsidR="00CB5647" w:rsidRPr="00F202AA" w:rsidRDefault="00CB5647" w:rsidP="00CB56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B20AC">
              <w:rPr>
                <w:rFonts w:cstheme="minorHAnsi"/>
              </w:rPr>
              <w:t xml:space="preserve">Project </w:t>
            </w:r>
            <w:r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Efficient Water quality analysis &amp; prediction using Machine Learning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538214CB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CB5647">
        <w:t>r efficient water quality analysis</w:t>
      </w:r>
      <w:r w:rsidR="002D6D46">
        <w:t xml:space="preserve"> and prediction</w:t>
      </w:r>
      <w:r>
        <w:t xml:space="preserve">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01B15" w14:textId="77777777" w:rsidR="00F31653" w:rsidRDefault="00F31653">
      <w:r>
        <w:separator/>
      </w:r>
    </w:p>
  </w:endnote>
  <w:endnote w:type="continuationSeparator" w:id="0">
    <w:p w14:paraId="30077ADC" w14:textId="77777777" w:rsidR="00F31653" w:rsidRDefault="00F31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BF68" w14:textId="77777777" w:rsidR="00F31653" w:rsidRDefault="00F31653">
      <w:r>
        <w:separator/>
      </w:r>
    </w:p>
  </w:footnote>
  <w:footnote w:type="continuationSeparator" w:id="0">
    <w:p w14:paraId="0E1EA4AA" w14:textId="77777777" w:rsidR="00F31653" w:rsidRDefault="00F31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2D6D46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CB5647"/>
    <w:rsid w:val="00D456AD"/>
    <w:rsid w:val="00DC1D8C"/>
    <w:rsid w:val="00DE6822"/>
    <w:rsid w:val="00F202AA"/>
    <w:rsid w:val="00F31653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subiksha swaminathan</cp:lastModifiedBy>
  <cp:revision>12</cp:revision>
  <dcterms:created xsi:type="dcterms:W3CDTF">2022-11-03T11:17:00Z</dcterms:created>
  <dcterms:modified xsi:type="dcterms:W3CDTF">2022-11-19T17:12:00Z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