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05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PNT2022TMID24304</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b w:val="1"/>
                <w:color w:val="35475c"/>
                <w:sz w:val="20"/>
                <w:szCs w:val="20"/>
              </w:rPr>
            </w:pPr>
            <w:r w:rsidDel="00000000" w:rsidR="00000000" w:rsidRPr="00000000">
              <w:rPr>
                <w:rFonts w:ascii="Arial" w:cs="Arial" w:eastAsia="Arial" w:hAnsi="Arial"/>
                <w:rtl w:val="0"/>
              </w:rPr>
              <w:t xml:space="preserve">Project - </w:t>
            </w:r>
            <w:r w:rsidDel="00000000" w:rsidR="00000000" w:rsidRPr="00000000">
              <w:rPr>
                <w:rFonts w:ascii="Arial" w:cs="Arial" w:eastAsia="Arial" w:hAnsi="Arial"/>
                <w:b w:val="1"/>
                <w:color w:val="35475c"/>
                <w:sz w:val="20"/>
                <w:szCs w:val="20"/>
                <w:rtl w:val="0"/>
              </w:rPr>
              <w:t xml:space="preserve">Nutrition Assistant Application</w:t>
            </w:r>
          </w:p>
          <w:p w:rsidR="00000000" w:rsidDel="00000000" w:rsidP="00000000" w:rsidRDefault="00000000" w:rsidRPr="00000000" w14:paraId="0000000A">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4695825</wp:posOffset>
                </wp:positionH>
                <wp:positionV relativeFrom="paragraph">
                  <wp:posOffset>469276</wp:posOffset>
                </wp:positionV>
                <wp:extent cx="3603625" cy="371475"/>
                <wp:effectExtent b="0" l="0" r="0" t="0"/>
                <wp:wrapNone/>
                <wp:docPr id="8"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4695825</wp:posOffset>
                </wp:positionH>
                <wp:positionV relativeFrom="paragraph">
                  <wp:posOffset>469276</wp:posOffset>
                </wp:positionV>
                <wp:extent cx="3603625" cy="37147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7"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4154553" cy="2689807"/>
            <wp:effectExtent b="0" l="0" r="0" t="0"/>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154553" cy="268980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810000" cy="2681548"/>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810000" cy="2681548"/>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User get into the dashboard and see’s the different web pages to compute what the user needs</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the form with username, Email-id and password.</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and be able to access the account.</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with my google mail-id and password.</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get access to use the dashboard. </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login to the application by entering my mail and password</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User gets into the dashboard and see’s the different web pages to compute what the user needs.</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FAQ</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you’ll ask questions or doubt about the application to the admin side. As per protocols the user will get the response from the admin.</w:t>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388" w:hRule="atLeast"/>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Register &amp; login page</w:t>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USN-12</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Register page </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USN12(I)</w:t>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is new to the application admin here to ask the user to sign up first or to fill the register the form from the user to get the user details.</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If everything is acceptable the user will access the Dashboard. </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Login page</w:t>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USN12(II)</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is already registered the admin will get the data and the user will login to the application by entering an email and password where the data is already stored in the database.</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User get access to use the Dashboard</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2">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Database process</w:t>
            </w:r>
          </w:p>
        </w:tc>
        <w:tc>
          <w:tcPr/>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9">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Add food data and user data to the database</w:t>
            </w:r>
          </w:p>
        </w:tc>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USN-13</w:t>
            </w:r>
          </w:p>
        </w:tc>
        <w:tc>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(1) Admin will store the food nutrition value and calories value of the primary taken foods and fast foods. (2) Admin will customize a code to store the user data to the database from the registration page. </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0">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User Interface</w:t>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7">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Upload the food image and get the prediction</w:t>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USN-14</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Here the user will upload the picture from the files to the web page and upload the picture, to get to know about the nutrition value. Here the computation process is to predict the food image and to get the food values from the database. </w:t>
            </w:r>
          </w:p>
        </w:tc>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picture is clear, I am able to predict and go to the next stage.</w:t>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E">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Get the calories and nutrition value form the food item</w:t>
            </w:r>
          </w:p>
        </w:tc>
        <w:tc>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USN -15</w:t>
            </w:r>
          </w:p>
        </w:tc>
        <w:tc>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Admin will compute the process over cloud to get the correct food value for the predicted image that user uploaded </w:t>
            </w:r>
          </w:p>
        </w:tc>
        <w:tc>
          <w:tcPr/>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bl>
    <w:p w:rsidR="00000000" w:rsidDel="00000000" w:rsidP="00000000" w:rsidRDefault="00000000" w:rsidRPr="00000000" w14:paraId="000000A4">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hyperlink" Target="https://developer.ibm.com/patterns/visualize-unstructured-te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394T5T290IvZ92D6P0ziyNDDJQ==">AMUW2mXRKiYkKLJMiaUUy2Hs2vzyvByYIqlZq8lyrYmhnhpi+/0rg98A/XeYoG7KvptftMnwuaSc91qRsiDUdrzOSO9OTT1FafhSLFWWSwbSnmmnGASX7pA=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