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PNT2022TMID51657</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Inventory management for retailers [ B8-2A4E]</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Pr>
        <w:drawing>
          <wp:inline distB="114300" distT="114300" distL="114300" distR="114300">
            <wp:extent cx="3701540" cy="180574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1540" cy="1805745"/>
                    </a:xfrm>
                    <a:prstGeom prst="rect"/>
                    <a:ln/>
                  </pic:spPr>
                </pic:pic>
              </a:graphicData>
            </a:graphic>
          </wp:inline>
        </w:drawing>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Pr>
        <w:drawing>
          <wp:inline distB="114300" distT="114300" distL="114300" distR="114300">
            <wp:extent cx="3633788" cy="294656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33788" cy="294656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mobile number.</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I can login &amp; access the dashboard .</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access all my accounts details in 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I can see all my details in dashboard</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Storage</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user,i can store all my details in storage.</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I can store,update and delete details in database.</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user,I can deal my query with customer care executive</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I can clear all my queries .</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388" w:hRule="atLeast"/>
          <w:tblHeader w:val="0"/>
        </w:trPr>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administration</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USN-9</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As a administrator ,i can solve my customers requests.</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I can solve all my customer’s requests.</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bl>
    <w:p w:rsidR="00000000" w:rsidDel="00000000" w:rsidP="00000000" w:rsidRDefault="00000000" w:rsidRPr="00000000" w14:paraId="00000059">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