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2DF7" w14:textId="54BF9929" w:rsidR="00265E3E" w:rsidRPr="007C3DAF" w:rsidRDefault="007C3DAF">
      <w:pPr>
        <w:rPr>
          <w:rFonts w:ascii="Calisto MT" w:hAnsi="Calisto MT"/>
          <w:b/>
          <w:bCs/>
          <w:color w:val="000099"/>
          <w:sz w:val="56"/>
          <w:szCs w:val="56"/>
          <w:lang w:val="en-US"/>
        </w:rPr>
      </w:pPr>
      <w:r>
        <w:rPr>
          <w:color w:val="000099"/>
          <w:sz w:val="56"/>
          <w:szCs w:val="56"/>
          <w:lang w:val="en-US"/>
        </w:rPr>
        <w:t xml:space="preserve">          </w:t>
      </w:r>
      <w:r w:rsidRPr="007C3DAF">
        <w:rPr>
          <w:rFonts w:ascii="Calisto MT" w:hAnsi="Calisto MT"/>
          <w:b/>
          <w:bCs/>
          <w:color w:val="000099"/>
          <w:sz w:val="56"/>
          <w:szCs w:val="56"/>
          <w:lang w:val="en-US"/>
        </w:rPr>
        <w:t>Global Sales Data Analytics</w:t>
      </w:r>
    </w:p>
    <w:tbl>
      <w:tblPr>
        <w:tblStyle w:val="TableGrid"/>
        <w:tblW w:w="0" w:type="auto"/>
        <w:tblLook w:val="04A0" w:firstRow="1" w:lastRow="0" w:firstColumn="1" w:lastColumn="0" w:noHBand="0" w:noVBand="1"/>
      </w:tblPr>
      <w:tblGrid>
        <w:gridCol w:w="2547"/>
        <w:gridCol w:w="6469"/>
      </w:tblGrid>
      <w:tr w:rsidR="007C3DAF" w14:paraId="7B6311E1" w14:textId="77777777" w:rsidTr="007C3DAF">
        <w:trPr>
          <w:trHeight w:val="656"/>
        </w:trPr>
        <w:tc>
          <w:tcPr>
            <w:tcW w:w="2547" w:type="dxa"/>
          </w:tcPr>
          <w:p w14:paraId="2103FFE0" w14:textId="2504EFBE" w:rsidR="007C3DAF" w:rsidRPr="007C3DAF" w:rsidRDefault="007C3DAF">
            <w:pPr>
              <w:rPr>
                <w:b/>
                <w:bCs/>
                <w:sz w:val="32"/>
                <w:szCs w:val="32"/>
                <w:lang w:val="en-US"/>
              </w:rPr>
            </w:pPr>
            <w:r w:rsidRPr="007C3DAF">
              <w:rPr>
                <w:b/>
                <w:bCs/>
                <w:sz w:val="32"/>
                <w:szCs w:val="32"/>
                <w:lang w:val="en-US"/>
              </w:rPr>
              <w:t>Date</w:t>
            </w:r>
          </w:p>
        </w:tc>
        <w:tc>
          <w:tcPr>
            <w:tcW w:w="6469" w:type="dxa"/>
          </w:tcPr>
          <w:p w14:paraId="317BF497" w14:textId="5B58F2A4" w:rsidR="007C3DAF" w:rsidRPr="007C3DAF" w:rsidRDefault="009E5FBA">
            <w:pPr>
              <w:rPr>
                <w:b/>
                <w:bCs/>
                <w:sz w:val="32"/>
                <w:szCs w:val="32"/>
                <w:lang w:val="en-US"/>
              </w:rPr>
            </w:pPr>
            <w:r>
              <w:rPr>
                <w:b/>
                <w:bCs/>
                <w:sz w:val="32"/>
                <w:szCs w:val="32"/>
                <w:lang w:val="en-US"/>
              </w:rPr>
              <w:t>10</w:t>
            </w:r>
            <w:r w:rsidR="007C3DAF" w:rsidRPr="007C3DAF">
              <w:rPr>
                <w:b/>
                <w:bCs/>
                <w:sz w:val="32"/>
                <w:szCs w:val="32"/>
                <w:lang w:val="en-US"/>
              </w:rPr>
              <w:t>-11-2022</w:t>
            </w:r>
          </w:p>
        </w:tc>
      </w:tr>
      <w:tr w:rsidR="007C3DAF" w14:paraId="1FD73247" w14:textId="77777777" w:rsidTr="007C3DAF">
        <w:trPr>
          <w:trHeight w:val="693"/>
        </w:trPr>
        <w:tc>
          <w:tcPr>
            <w:tcW w:w="2547" w:type="dxa"/>
          </w:tcPr>
          <w:p w14:paraId="22B1DA74" w14:textId="4AE42F97" w:rsidR="007C3DAF" w:rsidRPr="007C3DAF" w:rsidRDefault="007C3DAF">
            <w:pPr>
              <w:rPr>
                <w:b/>
                <w:bCs/>
                <w:sz w:val="32"/>
                <w:szCs w:val="32"/>
                <w:lang w:val="en-US"/>
              </w:rPr>
            </w:pPr>
            <w:r w:rsidRPr="007C3DAF">
              <w:rPr>
                <w:b/>
                <w:bCs/>
                <w:sz w:val="32"/>
                <w:szCs w:val="32"/>
                <w:lang w:val="en-US"/>
              </w:rPr>
              <w:t>Team ID</w:t>
            </w:r>
          </w:p>
        </w:tc>
        <w:tc>
          <w:tcPr>
            <w:tcW w:w="6469" w:type="dxa"/>
          </w:tcPr>
          <w:p w14:paraId="1C165568" w14:textId="02921930" w:rsidR="007C3DAF" w:rsidRPr="007C3DAF" w:rsidRDefault="007C3DAF">
            <w:pPr>
              <w:rPr>
                <w:b/>
                <w:bCs/>
                <w:sz w:val="32"/>
                <w:szCs w:val="32"/>
                <w:lang w:val="en-US"/>
              </w:rPr>
            </w:pPr>
            <w:r w:rsidRPr="007C3DAF">
              <w:rPr>
                <w:b/>
                <w:bCs/>
                <w:sz w:val="32"/>
                <w:szCs w:val="32"/>
                <w:lang w:val="en-US"/>
              </w:rPr>
              <w:t>PNT2022TMID45267</w:t>
            </w:r>
          </w:p>
        </w:tc>
      </w:tr>
      <w:tr w:rsidR="007C3DAF" w14:paraId="5BB02495" w14:textId="77777777" w:rsidTr="007C3DAF">
        <w:trPr>
          <w:trHeight w:val="702"/>
        </w:trPr>
        <w:tc>
          <w:tcPr>
            <w:tcW w:w="2547" w:type="dxa"/>
          </w:tcPr>
          <w:p w14:paraId="1DB089D0" w14:textId="30705813" w:rsidR="007C3DAF" w:rsidRPr="007C3DAF" w:rsidRDefault="007C3DAF">
            <w:pPr>
              <w:rPr>
                <w:b/>
                <w:bCs/>
                <w:sz w:val="32"/>
                <w:szCs w:val="32"/>
                <w:lang w:val="en-US"/>
              </w:rPr>
            </w:pPr>
            <w:r w:rsidRPr="007C3DAF">
              <w:rPr>
                <w:b/>
                <w:bCs/>
                <w:sz w:val="32"/>
                <w:szCs w:val="32"/>
                <w:lang w:val="en-US"/>
              </w:rPr>
              <w:t>Project Name</w:t>
            </w:r>
          </w:p>
        </w:tc>
        <w:tc>
          <w:tcPr>
            <w:tcW w:w="6469" w:type="dxa"/>
          </w:tcPr>
          <w:p w14:paraId="18A3B6FF" w14:textId="296B67A5" w:rsidR="007C3DAF" w:rsidRPr="007C3DAF" w:rsidRDefault="007C3DAF">
            <w:pPr>
              <w:rPr>
                <w:b/>
                <w:bCs/>
                <w:sz w:val="32"/>
                <w:szCs w:val="32"/>
                <w:lang w:val="en-US"/>
              </w:rPr>
            </w:pPr>
            <w:r w:rsidRPr="007C3DAF">
              <w:rPr>
                <w:b/>
                <w:bCs/>
                <w:sz w:val="32"/>
                <w:szCs w:val="32"/>
                <w:lang w:val="en-US"/>
              </w:rPr>
              <w:t>Global Sales Data Analytics</w:t>
            </w:r>
          </w:p>
        </w:tc>
      </w:tr>
    </w:tbl>
    <w:p w14:paraId="62B523DD" w14:textId="77B089EF" w:rsidR="004C496C" w:rsidRDefault="004C496C" w:rsidP="004C496C">
      <w:pPr>
        <w:rPr>
          <w:rFonts w:ascii="Calisto MT" w:hAnsi="Calisto MT"/>
          <w:color w:val="000099"/>
          <w:sz w:val="44"/>
          <w:szCs w:val="44"/>
          <w:lang w:val="en-US"/>
        </w:rPr>
      </w:pPr>
    </w:p>
    <w:p w14:paraId="4AA8A04B" w14:textId="4DE7C578" w:rsidR="009E5FBA" w:rsidRPr="004C496C" w:rsidRDefault="009E5FBA" w:rsidP="004C496C">
      <w:pPr>
        <w:rPr>
          <w:rFonts w:ascii="Calisto MT" w:hAnsi="Calisto MT"/>
          <w:color w:val="000099"/>
          <w:sz w:val="44"/>
          <w:szCs w:val="44"/>
          <w:lang w:val="en-US"/>
        </w:rPr>
      </w:pPr>
      <w:r>
        <w:rPr>
          <w:rFonts w:ascii="Calisto MT" w:hAnsi="Calisto MT"/>
          <w:color w:val="000099"/>
          <w:sz w:val="44"/>
          <w:szCs w:val="44"/>
          <w:lang w:val="en-US"/>
        </w:rPr>
        <w:t>Technology Architecture</w:t>
      </w:r>
    </w:p>
    <w:p w14:paraId="2D3E8852" w14:textId="3F17B2EF" w:rsidR="004C496C" w:rsidRDefault="009E5FBA" w:rsidP="004C496C">
      <w:pPr>
        <w:rPr>
          <w:rFonts w:ascii="Arial" w:hAnsi="Arial" w:cs="Arial"/>
          <w:sz w:val="30"/>
          <w:szCs w:val="30"/>
        </w:rPr>
      </w:pPr>
      <w:r w:rsidRPr="009E5FBA">
        <w:rPr>
          <w:rStyle w:val="topic-highlight"/>
          <w:rFonts w:ascii="Arial" w:hAnsi="Arial" w:cs="Arial"/>
          <w:sz w:val="30"/>
          <w:szCs w:val="30"/>
        </w:rPr>
        <w:t>Technology architecture</w:t>
      </w:r>
      <w:r w:rsidRPr="009E5FBA">
        <w:rPr>
          <w:rFonts w:ascii="Arial" w:hAnsi="Arial" w:cs="Arial"/>
          <w:sz w:val="30"/>
          <w:szCs w:val="30"/>
        </w:rPr>
        <w:t> </w:t>
      </w:r>
      <w:proofErr w:type="gramStart"/>
      <w:r w:rsidRPr="009E5FBA">
        <w:rPr>
          <w:rFonts w:ascii="Arial" w:hAnsi="Arial" w:cs="Arial"/>
          <w:sz w:val="30"/>
          <w:szCs w:val="30"/>
        </w:rPr>
        <w:t>associates</w:t>
      </w:r>
      <w:proofErr w:type="gramEnd"/>
      <w:r w:rsidRPr="009E5FBA">
        <w:rPr>
          <w:rFonts w:ascii="Arial" w:hAnsi="Arial" w:cs="Arial"/>
          <w:sz w:val="30"/>
          <w:szCs w:val="30"/>
        </w:rPr>
        <w:t xml:space="preserve"> application components from application architecture with technology components representing software and hardware components. Its components are generally acquired in the marketplace and can be assembled and configured to constitute the enterprise’s technological infrastructure. Technology architecture provides a more concrete view of the way in which application components will be realized and deployed. It enables the migration problems that can arise between the different steps of the IS evolution path to be studied earlier. It provides a more precise means of evaluating responses to constraints (</w:t>
      </w:r>
      <w:proofErr w:type="spellStart"/>
      <w:r w:rsidRPr="009E5FBA">
        <w:rPr>
          <w:rFonts w:ascii="Arial" w:hAnsi="Arial" w:cs="Arial"/>
          <w:sz w:val="30"/>
          <w:szCs w:val="30"/>
        </w:rPr>
        <w:t>nonfunctional</w:t>
      </w:r>
      <w:proofErr w:type="spellEnd"/>
      <w:r w:rsidRPr="009E5FBA">
        <w:rPr>
          <w:rFonts w:ascii="Arial" w:hAnsi="Arial" w:cs="Arial"/>
          <w:sz w:val="30"/>
          <w:szCs w:val="30"/>
        </w:rPr>
        <w:t xml:space="preserve"> requirements) concerning the IS, notably by estimating hardware and network sizing needs or by setting up server or storage redundancy. Technology architecture concentrates on logistical and location problems related to hardware location, IS management capabilities, and the sites where the different parts of the IS are used. Technology architecture also ensures the delivered application components work together, confirming that the required business integration is supported.</w:t>
      </w:r>
    </w:p>
    <w:p w14:paraId="0B384CF3" w14:textId="4AF13994" w:rsidR="009E5FBA" w:rsidRDefault="009E5FBA" w:rsidP="004C496C">
      <w:pPr>
        <w:rPr>
          <w:rFonts w:ascii="system-ui" w:hAnsi="system-ui"/>
          <w:sz w:val="32"/>
          <w:szCs w:val="32"/>
          <w:shd w:val="clear" w:color="auto" w:fill="FFFFFF"/>
        </w:rPr>
      </w:pPr>
      <w:hyperlink r:id="rId4" w:history="1">
        <w:r w:rsidRPr="009E5FBA">
          <w:rPr>
            <w:rStyle w:val="Hyperlink"/>
            <w:rFonts w:ascii="system-ui" w:hAnsi="system-ui"/>
            <w:b/>
            <w:bCs/>
            <w:color w:val="auto"/>
            <w:sz w:val="32"/>
            <w:szCs w:val="32"/>
            <w:shd w:val="clear" w:color="auto" w:fill="FFFFFF"/>
          </w:rPr>
          <w:t>Technology Architecture</w:t>
        </w:r>
      </w:hyperlink>
      <w:r w:rsidRPr="009E5FBA">
        <w:rPr>
          <w:rFonts w:ascii="system-ui" w:hAnsi="system-ui"/>
          <w:sz w:val="32"/>
          <w:szCs w:val="32"/>
          <w:shd w:val="clear" w:color="auto" w:fill="FFFFFF"/>
        </w:rPr>
        <w:t xml:space="preserve"> describes the logical software and hardware capabilities that are required to support the deployment of business, data, and application services. This includes IT infrastructure, middleware, networks, communications, processing, standards, etc. (TOGAF 9.1) Requirements from each layer adds a foundational component to </w:t>
      </w:r>
      <w:r w:rsidRPr="009E5FBA">
        <w:rPr>
          <w:rFonts w:ascii="system-ui" w:hAnsi="system-ui"/>
          <w:sz w:val="32"/>
          <w:szCs w:val="32"/>
          <w:shd w:val="clear" w:color="auto" w:fill="FFFFFF"/>
        </w:rPr>
        <w:lastRenderedPageBreak/>
        <w:t xml:space="preserve">the overall EA. As we work through the four </w:t>
      </w:r>
      <w:proofErr w:type="gramStart"/>
      <w:r w:rsidRPr="009E5FBA">
        <w:rPr>
          <w:rFonts w:ascii="system-ui" w:hAnsi="system-ui"/>
          <w:sz w:val="32"/>
          <w:szCs w:val="32"/>
          <w:shd w:val="clear" w:color="auto" w:fill="FFFFFF"/>
        </w:rPr>
        <w:t>layers</w:t>
      </w:r>
      <w:proofErr w:type="gramEnd"/>
      <w:r w:rsidRPr="009E5FBA">
        <w:rPr>
          <w:rFonts w:ascii="system-ui" w:hAnsi="system-ui"/>
          <w:sz w:val="32"/>
          <w:szCs w:val="32"/>
          <w:shd w:val="clear" w:color="auto" w:fill="FFFFFF"/>
        </w:rPr>
        <w:t xml:space="preserve"> we identify the critical requirements and consider accompanying factors (e.g. roadmap planning, governance, change management) that provide an overarching EA</w:t>
      </w:r>
    </w:p>
    <w:p w14:paraId="233AC2C0" w14:textId="23C558D0" w:rsidR="009E5FBA" w:rsidRPr="009E5FBA" w:rsidRDefault="009E5FBA" w:rsidP="004C496C">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14:anchorId="2FDEB341" wp14:editId="3E06E0AE">
            <wp:extent cx="551434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23703" cy="3969128"/>
                    </a:xfrm>
                    <a:prstGeom prst="rect">
                      <a:avLst/>
                    </a:prstGeom>
                  </pic:spPr>
                </pic:pic>
              </a:graphicData>
            </a:graphic>
          </wp:inline>
        </w:drawing>
      </w:r>
      <w:r>
        <w:rPr>
          <w:rFonts w:asciiTheme="majorHAnsi" w:hAnsiTheme="majorHAnsi" w:cstheme="majorHAnsi"/>
          <w:b/>
          <w:bCs/>
          <w:noProof/>
          <w:sz w:val="32"/>
          <w:szCs w:val="32"/>
          <w:lang w:val="en-US"/>
        </w:rPr>
        <w:drawing>
          <wp:inline distT="0" distB="0" distL="0" distR="0" wp14:anchorId="64ECF442" wp14:editId="35DDE4A7">
            <wp:extent cx="5137211" cy="2514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39174" cy="2515561"/>
                    </a:xfrm>
                    <a:prstGeom prst="rect">
                      <a:avLst/>
                    </a:prstGeom>
                  </pic:spPr>
                </pic:pic>
              </a:graphicData>
            </a:graphic>
          </wp:inline>
        </w:drawing>
      </w:r>
    </w:p>
    <w:sectPr w:rsidR="009E5FBA" w:rsidRPr="009E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AF"/>
    <w:rsid w:val="00265E3E"/>
    <w:rsid w:val="004C496C"/>
    <w:rsid w:val="006B1C17"/>
    <w:rsid w:val="007C3DAF"/>
    <w:rsid w:val="009E5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DDA5"/>
  <w15:chartTrackingRefBased/>
  <w15:docId w15:val="{33F1AF2F-6B1D-4618-8F4C-A9F03154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9E5FBA"/>
  </w:style>
  <w:style w:type="character" w:styleId="Strong">
    <w:name w:val="Strong"/>
    <w:basedOn w:val="DefaultParagraphFont"/>
    <w:uiPriority w:val="22"/>
    <w:qFormat/>
    <w:rsid w:val="009E5FBA"/>
    <w:rPr>
      <w:b/>
      <w:bCs/>
    </w:rPr>
  </w:style>
  <w:style w:type="character" w:styleId="Hyperlink">
    <w:name w:val="Hyperlink"/>
    <w:basedOn w:val="DefaultParagraphFont"/>
    <w:uiPriority w:val="99"/>
    <w:semiHidden/>
    <w:unhideWhenUsed/>
    <w:rsid w:val="009E5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7650">
      <w:bodyDiv w:val="1"/>
      <w:marLeft w:val="0"/>
      <w:marRight w:val="0"/>
      <w:marTop w:val="0"/>
      <w:marBottom w:val="0"/>
      <w:divBdr>
        <w:top w:val="none" w:sz="0" w:space="0" w:color="auto"/>
        <w:left w:val="none" w:sz="0" w:space="0" w:color="auto"/>
        <w:bottom w:val="none" w:sz="0" w:space="0" w:color="auto"/>
        <w:right w:val="none" w:sz="0" w:space="0" w:color="auto"/>
      </w:divBdr>
      <w:divsChild>
        <w:div w:id="141587154">
          <w:marLeft w:val="0"/>
          <w:marRight w:val="0"/>
          <w:marTop w:val="0"/>
          <w:marBottom w:val="0"/>
          <w:divBdr>
            <w:top w:val="none" w:sz="0" w:space="0" w:color="auto"/>
            <w:left w:val="none" w:sz="0" w:space="0" w:color="auto"/>
            <w:bottom w:val="none" w:sz="0" w:space="0" w:color="auto"/>
            <w:right w:val="none" w:sz="0" w:space="0" w:color="auto"/>
          </w:divBdr>
        </w:div>
      </w:divsChild>
    </w:div>
    <w:div w:id="345135933">
      <w:bodyDiv w:val="1"/>
      <w:marLeft w:val="0"/>
      <w:marRight w:val="0"/>
      <w:marTop w:val="0"/>
      <w:marBottom w:val="0"/>
      <w:divBdr>
        <w:top w:val="none" w:sz="0" w:space="0" w:color="auto"/>
        <w:left w:val="none" w:sz="0" w:space="0" w:color="auto"/>
        <w:bottom w:val="none" w:sz="0" w:space="0" w:color="auto"/>
        <w:right w:val="none" w:sz="0" w:space="0" w:color="auto"/>
      </w:divBdr>
    </w:div>
    <w:div w:id="12215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www.lawinsider.com/dictionary/technology-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PRAVEEN S</cp:lastModifiedBy>
  <cp:revision>2</cp:revision>
  <dcterms:created xsi:type="dcterms:W3CDTF">2022-11-16T05:59:00Z</dcterms:created>
  <dcterms:modified xsi:type="dcterms:W3CDTF">2022-11-16T05:59:00Z</dcterms:modified>
</cp:coreProperties>
</file>