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6B02A4E" w:rsidR="005B2106" w:rsidRDefault="005B2106" w:rsidP="005C23C7">
            <w:r>
              <w:t>1</w:t>
            </w:r>
            <w:r w:rsidR="0079064E">
              <w:t>6</w:t>
            </w:r>
            <w:r>
              <w:t xml:space="preserve"> </w:t>
            </w:r>
            <w:r w:rsidR="0079064E">
              <w:t>Octobe</w:t>
            </w:r>
            <w:r>
              <w:t>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9D0A78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79064E">
              <w:rPr>
                <w:rFonts w:cstheme="minorHAnsi"/>
              </w:rPr>
              <w:t>28837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79E459" w:rsidR="00FE2407" w:rsidRDefault="0079064E" w:rsidP="00FE2407">
            <w:r>
              <w:t>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6C1CEF8C" w:rsidR="007A3AE5" w:rsidRDefault="007A3AE5" w:rsidP="00DB6A25">
      <w:pPr>
        <w:rPr>
          <w:b/>
          <w:bCs/>
          <w:sz w:val="24"/>
          <w:szCs w:val="24"/>
        </w:rPr>
      </w:pPr>
    </w:p>
    <w:p w14:paraId="6148593E" w14:textId="2C760F51" w:rsidR="003C4A8E" w:rsidRDefault="003C4A8E" w:rsidP="00DB6A25">
      <w:pPr>
        <w:rPr>
          <w:sz w:val="24"/>
          <w:szCs w:val="24"/>
        </w:rPr>
      </w:pPr>
    </w:p>
    <w:p w14:paraId="0CCEC2B7" w14:textId="562A5AAE" w:rsidR="003C4A8E" w:rsidRPr="003E3A16" w:rsidRDefault="001D05B6" w:rsidP="00DB6A25">
      <w:pPr>
        <w:rPr>
          <w:b/>
          <w:bCs/>
          <w:sz w:val="24"/>
          <w:szCs w:val="24"/>
        </w:rPr>
      </w:pPr>
      <w:r w:rsidRPr="001D05B6">
        <w:rPr>
          <w:noProof/>
          <w:sz w:val="24"/>
          <w:szCs w:val="24"/>
        </w:rPr>
        <w:drawing>
          <wp:inline distT="0" distB="0" distL="0" distR="0" wp14:anchorId="31E59B01" wp14:editId="5201A317">
            <wp:extent cx="5731510" cy="1291882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0EF1" w14:textId="3787F0BF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91"/>
        <w:gridCol w:w="1768"/>
        <w:gridCol w:w="1531"/>
        <w:gridCol w:w="1497"/>
        <w:gridCol w:w="1514"/>
        <w:gridCol w:w="2359"/>
      </w:tblGrid>
      <w:tr w:rsidR="0079064E" w:rsidRPr="007A3AE5" w14:paraId="38545458" w14:textId="77777777" w:rsidTr="001D05B6">
        <w:tc>
          <w:tcPr>
            <w:tcW w:w="1413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43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9064E" w14:paraId="3690B12A" w14:textId="77777777" w:rsidTr="001D05B6">
        <w:trPr>
          <w:trHeight w:val="2867"/>
        </w:trPr>
        <w:tc>
          <w:tcPr>
            <w:tcW w:w="1413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843" w:type="dxa"/>
          </w:tcPr>
          <w:p w14:paraId="75AA787A" w14:textId="0A6A0C10" w:rsidR="003E3A16" w:rsidRDefault="001D05B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 vendor (near the dump yard)</w:t>
            </w:r>
          </w:p>
        </w:tc>
        <w:tc>
          <w:tcPr>
            <w:tcW w:w="1559" w:type="dxa"/>
          </w:tcPr>
          <w:p w14:paraId="27DCD5BC" w14:textId="7722B391" w:rsidR="003E3A16" w:rsidRDefault="001D05B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 to municipal corporation </w:t>
            </w:r>
            <w:r w:rsidR="008754A6">
              <w:rPr>
                <w:sz w:val="24"/>
                <w:szCs w:val="24"/>
              </w:rPr>
              <w:t>for open burning of hazardous waste</w:t>
            </w:r>
          </w:p>
        </w:tc>
        <w:tc>
          <w:tcPr>
            <w:tcW w:w="1207" w:type="dxa"/>
          </w:tcPr>
          <w:p w14:paraId="5E00590C" w14:textId="10EE2FCA" w:rsidR="003E3A16" w:rsidRDefault="008754A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not taking any necessary actions</w:t>
            </w:r>
          </w:p>
        </w:tc>
        <w:tc>
          <w:tcPr>
            <w:tcW w:w="1501" w:type="dxa"/>
          </w:tcPr>
          <w:p w14:paraId="4E6513B3" w14:textId="5AE52026" w:rsidR="003E3A16" w:rsidRDefault="008754A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 and negligible municipality members</w:t>
            </w:r>
          </w:p>
        </w:tc>
        <w:tc>
          <w:tcPr>
            <w:tcW w:w="2537" w:type="dxa"/>
          </w:tcPr>
          <w:p w14:paraId="16B19AEA" w14:textId="385AA7C9" w:rsidR="003E3A16" w:rsidRDefault="008754A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Landfills, considered the last resort in the waste </w:t>
            </w:r>
            <w:proofErr w:type="gramStart"/>
            <w:r>
              <w:rPr>
                <w:sz w:val="24"/>
                <w:szCs w:val="24"/>
              </w:rPr>
              <w:t>hierarchy  leads</w:t>
            </w:r>
            <w:proofErr w:type="gramEnd"/>
            <w:r>
              <w:rPr>
                <w:sz w:val="24"/>
                <w:szCs w:val="24"/>
              </w:rPr>
              <w:t xml:space="preserve"> to release of hazardous gases which effect the waste workers or other people involved in waste burning and community members while leads to health problems</w:t>
            </w:r>
          </w:p>
        </w:tc>
      </w:tr>
      <w:tr w:rsidR="0079064E" w14:paraId="2CDBBD4F" w14:textId="77777777" w:rsidTr="0079064E">
        <w:trPr>
          <w:trHeight w:val="3251"/>
        </w:trPr>
        <w:tc>
          <w:tcPr>
            <w:tcW w:w="1413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843" w:type="dxa"/>
          </w:tcPr>
          <w:p w14:paraId="012A0200" w14:textId="179ED7B1" w:rsidR="003E3A16" w:rsidRDefault="0079064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citizen</w:t>
            </w:r>
          </w:p>
        </w:tc>
        <w:tc>
          <w:tcPr>
            <w:tcW w:w="1559" w:type="dxa"/>
          </w:tcPr>
          <w:p w14:paraId="439B6DA0" w14:textId="4D5A3F3E" w:rsidR="003E3A16" w:rsidRDefault="0079064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Dump the waste in the closed dust bins</w:t>
            </w:r>
          </w:p>
        </w:tc>
        <w:tc>
          <w:tcPr>
            <w:tcW w:w="1207" w:type="dxa"/>
          </w:tcPr>
          <w:p w14:paraId="3CC972BC" w14:textId="7EB035C0" w:rsidR="003E3A16" w:rsidRDefault="0079064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overfill of waste materials these waste spread all over the surroundings</w:t>
            </w:r>
          </w:p>
        </w:tc>
        <w:tc>
          <w:tcPr>
            <w:tcW w:w="1501" w:type="dxa"/>
          </w:tcPr>
          <w:p w14:paraId="174372E9" w14:textId="1E41DB32" w:rsidR="003E3A16" w:rsidRDefault="0079064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Improper management of dust bins by municipality</w:t>
            </w:r>
          </w:p>
        </w:tc>
        <w:tc>
          <w:tcPr>
            <w:tcW w:w="2537" w:type="dxa"/>
          </w:tcPr>
          <w:p w14:paraId="119C1B9B" w14:textId="226BF21B" w:rsidR="003E3A16" w:rsidRDefault="0079064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Poorly managed waste often ends up in </w:t>
            </w:r>
            <w:proofErr w:type="gramStart"/>
            <w:r>
              <w:rPr>
                <w:sz w:val="24"/>
                <w:szCs w:val="24"/>
              </w:rPr>
              <w:t>ponds ,</w:t>
            </w:r>
            <w:proofErr w:type="gramEnd"/>
            <w:r>
              <w:rPr>
                <w:sz w:val="24"/>
                <w:szCs w:val="24"/>
              </w:rPr>
              <w:t xml:space="preserve"> reservoirs or drainage systems which leads to diseases like malaria, cholera etc,.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D05B6"/>
    <w:rsid w:val="00213958"/>
    <w:rsid w:val="003C4A8E"/>
    <w:rsid w:val="003E3A16"/>
    <w:rsid w:val="005B2106"/>
    <w:rsid w:val="0079064E"/>
    <w:rsid w:val="007A3AE5"/>
    <w:rsid w:val="008754A6"/>
    <w:rsid w:val="009D3AA0"/>
    <w:rsid w:val="009D5CC9"/>
    <w:rsid w:val="00AC7F0A"/>
    <w:rsid w:val="00D51B07"/>
    <w:rsid w:val="00DB6A25"/>
    <w:rsid w:val="00ED4500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parveen shaik</cp:lastModifiedBy>
  <cp:revision>2</cp:revision>
  <dcterms:created xsi:type="dcterms:W3CDTF">2022-10-16T13:24:00Z</dcterms:created>
  <dcterms:modified xsi:type="dcterms:W3CDTF">2022-10-16T13:24:00Z</dcterms:modified>
</cp:coreProperties>
</file>