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0DB" w:rsidRDefault="00250741" w:rsidP="00250741">
      <w:pPr>
        <w:rPr>
          <w:b/>
          <w:sz w:val="48"/>
          <w:szCs w:val="48"/>
        </w:rPr>
        <w:sectPr w:rsidR="00EC30D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50741">
        <w:rPr>
          <w:b/>
          <w:sz w:val="48"/>
          <w:szCs w:val="48"/>
        </w:rPr>
        <w:t xml:space="preserve">                       LITERATURE  SURVAY </w:t>
      </w:r>
    </w:p>
    <w:p w:rsidR="00250741" w:rsidRDefault="00250741" w:rsidP="00250741">
      <w:pPr>
        <w:rPr>
          <w:b/>
          <w:sz w:val="48"/>
          <w:szCs w:val="48"/>
        </w:rPr>
      </w:pPr>
    </w:p>
    <w:p w:rsidR="00250741" w:rsidRDefault="00250741" w:rsidP="00250741">
      <w:pPr>
        <w:rPr>
          <w:b/>
          <w:sz w:val="48"/>
          <w:szCs w:val="48"/>
        </w:rPr>
      </w:pPr>
    </w:p>
    <w:tbl>
      <w:tblPr>
        <w:tblStyle w:val="TableGrid"/>
        <w:tblW w:w="11250" w:type="dxa"/>
        <w:tblInd w:w="-702" w:type="dxa"/>
        <w:tblLook w:val="04A0"/>
      </w:tblPr>
      <w:tblGrid>
        <w:gridCol w:w="2521"/>
        <w:gridCol w:w="2251"/>
        <w:gridCol w:w="1305"/>
        <w:gridCol w:w="2221"/>
        <w:gridCol w:w="2952"/>
      </w:tblGrid>
      <w:tr w:rsidR="00250741" w:rsidTr="005664C8">
        <w:tc>
          <w:tcPr>
            <w:tcW w:w="2377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250741" w:rsidRDefault="00250741" w:rsidP="0043360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Title </w:t>
            </w:r>
          </w:p>
          <w:p w:rsidR="00250741" w:rsidRPr="00250741" w:rsidRDefault="00250741" w:rsidP="0043360C">
            <w:pPr>
              <w:rPr>
                <w:sz w:val="32"/>
                <w:szCs w:val="32"/>
              </w:rPr>
            </w:pPr>
          </w:p>
        </w:tc>
        <w:tc>
          <w:tcPr>
            <w:tcW w:w="2303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250741" w:rsidRDefault="002507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Authour(s)</w:t>
            </w:r>
          </w:p>
          <w:p w:rsidR="00250741" w:rsidRPr="00250741" w:rsidRDefault="00250741" w:rsidP="00250741">
            <w:pPr>
              <w:rPr>
                <w:sz w:val="32"/>
                <w:szCs w:val="32"/>
              </w:rPr>
            </w:pPr>
          </w:p>
        </w:tc>
        <w:tc>
          <w:tcPr>
            <w:tcW w:w="1352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250741" w:rsidRPr="00250741" w:rsidRDefault="00250741" w:rsidP="0043360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</w:t>
            </w:r>
          </w:p>
        </w:tc>
        <w:tc>
          <w:tcPr>
            <w:tcW w:w="217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250741" w:rsidRPr="00250741" w:rsidRDefault="00250741" w:rsidP="0043360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Technique(s)</w:t>
            </w:r>
          </w:p>
        </w:tc>
        <w:tc>
          <w:tcPr>
            <w:tcW w:w="3048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250741" w:rsidRPr="00250741" w:rsidRDefault="00250741" w:rsidP="0043360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Findings/pros/ cons</w:t>
            </w:r>
          </w:p>
        </w:tc>
      </w:tr>
      <w:tr w:rsidR="00250741" w:rsidTr="005664C8">
        <w:tc>
          <w:tcPr>
            <w:tcW w:w="237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250741" w:rsidRPr="00250741" w:rsidRDefault="00250741" w:rsidP="00250741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250741">
              <w:rPr>
                <w:color w:val="000000"/>
                <w:sz w:val="24"/>
                <w:szCs w:val="24"/>
              </w:rPr>
              <w:t>The impact of skill supply and demand characteristics</w:t>
            </w:r>
            <w:r w:rsidR="00FC3B21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250741" w:rsidRPr="00250741" w:rsidRDefault="00250741" w:rsidP="00250741">
            <w:pPr>
              <w:pStyle w:val="HTMLPreformatted"/>
              <w:rPr>
                <w:color w:val="000000"/>
                <w:sz w:val="24"/>
                <w:szCs w:val="24"/>
              </w:rPr>
            </w:pPr>
          </w:p>
          <w:p w:rsidR="00250741" w:rsidRPr="00250741" w:rsidRDefault="00250741" w:rsidP="002507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  <w:p w:rsidR="00250741" w:rsidRPr="00250741" w:rsidRDefault="00250741" w:rsidP="0043360C">
            <w:pPr>
              <w:rPr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250741" w:rsidRPr="00250741" w:rsidRDefault="00250741" w:rsidP="00250741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250741">
              <w:rPr>
                <w:color w:val="000000"/>
                <w:sz w:val="24"/>
                <w:szCs w:val="24"/>
              </w:rPr>
              <w:t>Saar, Ellu and R{\"a}is, Mari Liis</w:t>
            </w:r>
            <w:r w:rsidR="00FC3B21">
              <w:rPr>
                <w:color w:val="000000"/>
                <w:sz w:val="24"/>
                <w:szCs w:val="24"/>
              </w:rPr>
              <w:t>.</w:t>
            </w:r>
          </w:p>
          <w:p w:rsidR="00250741" w:rsidRPr="00250741" w:rsidRDefault="00250741" w:rsidP="0043360C">
            <w:pPr>
              <w:rPr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250741" w:rsidRPr="00250741" w:rsidRDefault="00250741" w:rsidP="00250741">
            <w:pPr>
              <w:pStyle w:val="HTMLPreformatted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2017</w:t>
            </w:r>
          </w:p>
          <w:p w:rsidR="00250741" w:rsidRPr="00250741" w:rsidRDefault="00250741" w:rsidP="0043360C">
            <w:pPr>
              <w:rPr>
                <w:sz w:val="28"/>
                <w:szCs w:val="28"/>
              </w:rPr>
            </w:pPr>
          </w:p>
        </w:tc>
        <w:tc>
          <w:tcPr>
            <w:tcW w:w="217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250741" w:rsidRPr="00250741" w:rsidRDefault="00250741" w:rsidP="0043360C">
            <w:pPr>
              <w:rPr>
                <w:sz w:val="24"/>
                <w:szCs w:val="24"/>
              </w:rPr>
            </w:pPr>
            <w:r w:rsidRPr="00250741">
              <w:rPr>
                <w:sz w:val="24"/>
                <w:szCs w:val="24"/>
              </w:rPr>
              <w:t>Skill formation; adult education; skill use at work</w:t>
            </w:r>
            <w:r w:rsidR="00FC3B21">
              <w:rPr>
                <w:sz w:val="24"/>
                <w:szCs w:val="24"/>
              </w:rPr>
              <w:t>.</w:t>
            </w:r>
          </w:p>
        </w:tc>
        <w:tc>
          <w:tcPr>
            <w:tcW w:w="304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250741" w:rsidRPr="00250741" w:rsidRDefault="00250741" w:rsidP="0043360C">
            <w:pPr>
              <w:rPr>
                <w:sz w:val="24"/>
                <w:szCs w:val="24"/>
              </w:rPr>
            </w:pPr>
            <w:r w:rsidRPr="00250741">
              <w:rPr>
                <w:sz w:val="24"/>
                <w:szCs w:val="24"/>
              </w:rPr>
              <w:t> Predicted probabilities of participation in job-related non-formal training according to literacy level in 5 EU countries. Source: Own calculations based on PIAAC 2012.</w:t>
            </w:r>
          </w:p>
        </w:tc>
      </w:tr>
      <w:tr w:rsidR="00250741" w:rsidTr="005664C8">
        <w:trPr>
          <w:trHeight w:val="255"/>
        </w:trPr>
        <w:tc>
          <w:tcPr>
            <w:tcW w:w="237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250741" w:rsidRPr="00250741" w:rsidRDefault="00250741" w:rsidP="00250741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250741">
              <w:rPr>
                <w:color w:val="000000"/>
                <w:sz w:val="24"/>
                <w:szCs w:val="24"/>
              </w:rPr>
              <w:t>A systematic classification of job roles and required skill sets</w:t>
            </w:r>
            <w:r w:rsidR="00FC3B21">
              <w:rPr>
                <w:color w:val="000000"/>
                <w:sz w:val="24"/>
                <w:szCs w:val="24"/>
              </w:rPr>
              <w:t>.</w:t>
            </w:r>
          </w:p>
          <w:p w:rsidR="00250741" w:rsidRPr="00250741" w:rsidRDefault="00250741" w:rsidP="0043360C">
            <w:pPr>
              <w:rPr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250741" w:rsidRPr="00250741" w:rsidRDefault="00250741" w:rsidP="00250741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250741">
              <w:rPr>
                <w:color w:val="000000"/>
                <w:sz w:val="24"/>
                <w:szCs w:val="24"/>
              </w:rPr>
              <w:t>De Mauro, Andrea and Greco, Marco and Grimaldi, Michele and Ritala, Paavo</w:t>
            </w:r>
            <w:r w:rsidR="00FC3B21">
              <w:rPr>
                <w:color w:val="000000"/>
                <w:sz w:val="24"/>
                <w:szCs w:val="24"/>
              </w:rPr>
              <w:t>.</w:t>
            </w:r>
          </w:p>
          <w:p w:rsidR="00250741" w:rsidRPr="00250741" w:rsidRDefault="00250741" w:rsidP="0043360C">
            <w:pPr>
              <w:rPr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250741" w:rsidRPr="00250741" w:rsidRDefault="00250741" w:rsidP="00433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217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250741" w:rsidRPr="00250741" w:rsidRDefault="00250741" w:rsidP="0043360C">
            <w:pPr>
              <w:rPr>
                <w:sz w:val="24"/>
                <w:szCs w:val="24"/>
              </w:rPr>
            </w:pPr>
            <w:r w:rsidRPr="00250741">
              <w:rPr>
                <w:sz w:val="24"/>
                <w:szCs w:val="24"/>
              </w:rPr>
              <w:t>Cluster analysis, Genetic algorithms,NLP,SNA</w:t>
            </w:r>
            <w:r w:rsidR="00FC3B21">
              <w:rPr>
                <w:sz w:val="24"/>
                <w:szCs w:val="24"/>
              </w:rPr>
              <w:t>.</w:t>
            </w:r>
          </w:p>
        </w:tc>
        <w:tc>
          <w:tcPr>
            <w:tcW w:w="304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250741" w:rsidRPr="00250741" w:rsidRDefault="00250741" w:rsidP="0043360C">
            <w:pPr>
              <w:rPr>
                <w:sz w:val="24"/>
                <w:szCs w:val="24"/>
              </w:rPr>
            </w:pPr>
            <w:r w:rsidRPr="00250741">
              <w:rPr>
                <w:sz w:val="24"/>
                <w:szCs w:val="24"/>
              </w:rPr>
              <w:t>cluster is violated (Airoldi, Blei, Erosheva, &amp; Fienberg, 2014). For the sake of identifying skill sets within job posts, we decided to adopt the mixed-membership model Latent Dirichlet Allocation, LDA (Blei, 2012), which has proven to work effectively at analyzing user-generated content like job posts (Ma, Zhang, Liu, Li, &amp; Yuan, 2016).</w:t>
            </w:r>
          </w:p>
        </w:tc>
      </w:tr>
      <w:tr w:rsidR="00250741" w:rsidTr="005664C8">
        <w:trPr>
          <w:trHeight w:val="2328"/>
        </w:trPr>
        <w:tc>
          <w:tcPr>
            <w:tcW w:w="237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250741" w:rsidRPr="00250741" w:rsidRDefault="00250741" w:rsidP="00250741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250741">
              <w:rPr>
                <w:color w:val="000000"/>
                <w:sz w:val="24"/>
                <w:szCs w:val="24"/>
              </w:rPr>
              <w:t>Job crafting revisited: Implications of an extended framework for active changes at work</w:t>
            </w:r>
            <w:r w:rsidR="00FC3B21">
              <w:rPr>
                <w:color w:val="000000"/>
                <w:sz w:val="24"/>
                <w:szCs w:val="24"/>
              </w:rPr>
              <w:t>.</w:t>
            </w:r>
          </w:p>
          <w:p w:rsidR="00250741" w:rsidRPr="00250741" w:rsidRDefault="00250741" w:rsidP="0043360C">
            <w:pPr>
              <w:rPr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250741" w:rsidRPr="00250741" w:rsidRDefault="00250741" w:rsidP="00250741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250741">
              <w:rPr>
                <w:color w:val="000000"/>
                <w:sz w:val="24"/>
                <w:szCs w:val="24"/>
              </w:rPr>
              <w:t>Bindl, Uta K and Unsworth, Kerrie L and Gibson, Cristina B and Stride, Christopher B</w:t>
            </w:r>
            <w:r w:rsidR="00FC3B21">
              <w:rPr>
                <w:color w:val="000000"/>
                <w:sz w:val="24"/>
                <w:szCs w:val="24"/>
              </w:rPr>
              <w:t>.</w:t>
            </w:r>
          </w:p>
          <w:p w:rsidR="00250741" w:rsidRPr="00250741" w:rsidRDefault="00250741" w:rsidP="0043360C">
            <w:pPr>
              <w:rPr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250741" w:rsidRPr="00250741" w:rsidRDefault="00250741" w:rsidP="00433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  <w:tc>
          <w:tcPr>
            <w:tcW w:w="217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250741" w:rsidRPr="00250741" w:rsidRDefault="00250741" w:rsidP="0025074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741">
              <w:rPr>
                <w:rFonts w:ascii="Times New Roman" w:eastAsia="Times New Roman" w:hAnsi="Times New Roman" w:cs="Times New Roman"/>
                <w:sz w:val="24"/>
                <w:szCs w:val="24"/>
              </w:rPr>
              <w:t>job crafting, proactivity, regulatory focus</w:t>
            </w:r>
          </w:p>
          <w:p w:rsidR="00250741" w:rsidRPr="00250741" w:rsidRDefault="00250741" w:rsidP="0025074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741">
              <w:rPr>
                <w:rFonts w:ascii="Times New Roman" w:eastAsia="Times New Roman" w:hAnsi="Times New Roman" w:cs="Times New Roman"/>
                <w:sz w:val="24"/>
                <w:szCs w:val="24"/>
              </w:rPr>
              <w:t>theory</w:t>
            </w:r>
            <w:r w:rsidR="00FC3B2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50741" w:rsidRPr="00250741" w:rsidRDefault="00250741" w:rsidP="0043360C">
            <w:pPr>
              <w:rPr>
                <w:sz w:val="24"/>
                <w:szCs w:val="24"/>
              </w:rPr>
            </w:pPr>
          </w:p>
        </w:tc>
        <w:tc>
          <w:tcPr>
            <w:tcW w:w="304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250741" w:rsidRPr="00250741" w:rsidRDefault="00250741" w:rsidP="0025074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741">
              <w:rPr>
                <w:rFonts w:ascii="Times New Roman" w:eastAsia="Times New Roman" w:hAnsi="Times New Roman" w:cs="Times New Roman"/>
                <w:sz w:val="24"/>
                <w:szCs w:val="24"/>
              </w:rPr>
              <w:t>Proposed moderated mediation model linking individual needs to innovative work performance via</w:t>
            </w:r>
          </w:p>
          <w:p w:rsidR="00250741" w:rsidRPr="00250741" w:rsidRDefault="00250741" w:rsidP="0025074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741">
              <w:rPr>
                <w:rFonts w:ascii="Times New Roman" w:eastAsia="Times New Roman" w:hAnsi="Times New Roman" w:cs="Times New Roman"/>
                <w:sz w:val="24"/>
                <w:szCs w:val="24"/>
              </w:rPr>
              <w:t>job crafting, moderated by regulatory focus.</w:t>
            </w:r>
          </w:p>
          <w:p w:rsidR="00250741" w:rsidRPr="00250741" w:rsidRDefault="00250741" w:rsidP="0043360C">
            <w:pPr>
              <w:rPr>
                <w:sz w:val="24"/>
                <w:szCs w:val="24"/>
              </w:rPr>
            </w:pPr>
          </w:p>
        </w:tc>
      </w:tr>
    </w:tbl>
    <w:p w:rsidR="00EC30DB" w:rsidRDefault="00EC30DB" w:rsidP="006B0074">
      <w:pPr>
        <w:pStyle w:val="HTMLPreformatted"/>
        <w:rPr>
          <w:color w:val="000000"/>
        </w:rPr>
        <w:sectPr w:rsidR="00EC30DB" w:rsidSect="00EC30D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1070" w:type="dxa"/>
        <w:tblInd w:w="-702" w:type="dxa"/>
        <w:tblLook w:val="04A0"/>
      </w:tblPr>
      <w:tblGrid>
        <w:gridCol w:w="2377"/>
        <w:gridCol w:w="2303"/>
        <w:gridCol w:w="1350"/>
        <w:gridCol w:w="2172"/>
        <w:gridCol w:w="2868"/>
      </w:tblGrid>
      <w:tr w:rsidR="00250741" w:rsidTr="00B07B2F">
        <w:tc>
          <w:tcPr>
            <w:tcW w:w="237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6B0074" w:rsidRPr="00B07B2F" w:rsidRDefault="006B0074" w:rsidP="006B0074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B07B2F">
              <w:rPr>
                <w:color w:val="000000"/>
                <w:sz w:val="24"/>
                <w:szCs w:val="24"/>
              </w:rPr>
              <w:lastRenderedPageBreak/>
              <w:t>Enhancement of Professional Behaviours and Perceptions of Critical Skill Job Preparedness through the Use of a Group Work Contract in Fourth-Year Nutritional Science Students</w:t>
            </w:r>
            <w:r w:rsidR="00FC3B21">
              <w:rPr>
                <w:color w:val="000000"/>
                <w:sz w:val="24"/>
                <w:szCs w:val="24"/>
              </w:rPr>
              <w:t>.</w:t>
            </w:r>
          </w:p>
          <w:p w:rsidR="006B0074" w:rsidRPr="00B07B2F" w:rsidRDefault="006B0074" w:rsidP="006B0074">
            <w:pPr>
              <w:pStyle w:val="HTMLPreformatted"/>
              <w:rPr>
                <w:color w:val="000000"/>
                <w:sz w:val="24"/>
                <w:szCs w:val="24"/>
              </w:rPr>
            </w:pPr>
          </w:p>
          <w:p w:rsidR="00250741" w:rsidRPr="00B07B2F" w:rsidRDefault="00250741" w:rsidP="0043360C">
            <w:pPr>
              <w:rPr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B07B2F" w:rsidRPr="00B07B2F" w:rsidRDefault="00B07B2F" w:rsidP="00B07B2F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B07B2F">
              <w:rPr>
                <w:color w:val="000000"/>
                <w:sz w:val="24"/>
                <w:szCs w:val="24"/>
              </w:rPr>
              <w:t>Cartwright, Nadia M and Patil, Payal and Liddle, Danyelle M and Newton, Genevieve and Monk, Jennifer M</w:t>
            </w:r>
            <w:r w:rsidR="00FC3B21">
              <w:rPr>
                <w:color w:val="000000"/>
                <w:sz w:val="24"/>
                <w:szCs w:val="24"/>
              </w:rPr>
              <w:t>.</w:t>
            </w:r>
          </w:p>
          <w:p w:rsidR="00250741" w:rsidRPr="00B07B2F" w:rsidRDefault="00250741" w:rsidP="0043360C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250741" w:rsidRPr="00B07B2F" w:rsidRDefault="00B07B2F" w:rsidP="00433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</w:p>
        </w:tc>
        <w:tc>
          <w:tcPr>
            <w:tcW w:w="2172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250741" w:rsidRPr="00FC3B21" w:rsidRDefault="00B07B2F" w:rsidP="00B07B2F">
            <w:pPr>
              <w:rPr>
                <w:rStyle w:val="Emphasis"/>
              </w:rPr>
            </w:pPr>
            <w:r w:rsidRPr="00B07B2F">
              <w:rPr>
                <w:sz w:val="24"/>
                <w:szCs w:val="24"/>
              </w:rPr>
              <w:t>Professional behaviours, student anxiety, job readiness, scientific literacy, critical thinking</w:t>
            </w:r>
            <w:r w:rsidR="00FC3B21">
              <w:rPr>
                <w:sz w:val="24"/>
                <w:szCs w:val="24"/>
              </w:rPr>
              <w:t>.</w:t>
            </w:r>
          </w:p>
        </w:tc>
        <w:tc>
          <w:tcPr>
            <w:tcW w:w="2868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:rsidR="00250741" w:rsidRPr="00B07B2F" w:rsidRDefault="00B07B2F" w:rsidP="0043360C">
            <w:pPr>
              <w:rPr>
                <w:sz w:val="24"/>
                <w:szCs w:val="24"/>
              </w:rPr>
            </w:pPr>
            <w:r w:rsidRPr="00B07B2F">
              <w:rPr>
                <w:sz w:val="24"/>
                <w:szCs w:val="24"/>
              </w:rPr>
              <w:t>This commonly used approach emphasizes the importance of collaborative social skills in contributing towards a successful group work experience or group dynamic (Campion, Medsker, &amp; Higgs, 1993; Mendo-Lazaro et al., 2018; Morgeson et al., 2005; OECD, 2017; Stewart et al., 2005).</w:t>
            </w:r>
          </w:p>
        </w:tc>
      </w:tr>
      <w:tr w:rsidR="00250741" w:rsidTr="00B07B2F">
        <w:tc>
          <w:tcPr>
            <w:tcW w:w="2377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07B2F" w:rsidRPr="005664C8" w:rsidRDefault="00B07B2F" w:rsidP="00B07B2F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5664C8">
              <w:rPr>
                <w:color w:val="000000"/>
                <w:sz w:val="24"/>
                <w:szCs w:val="24"/>
              </w:rPr>
              <w:t>Skill requirements and labour polarisation: An association analysis based on Polish online job offers</w:t>
            </w:r>
            <w:r w:rsidR="00FC3B21">
              <w:rPr>
                <w:color w:val="000000"/>
                <w:sz w:val="24"/>
                <w:szCs w:val="24"/>
              </w:rPr>
              <w:t>.</w:t>
            </w:r>
          </w:p>
          <w:p w:rsidR="00250741" w:rsidRPr="005664C8" w:rsidRDefault="00250741" w:rsidP="0043360C">
            <w:pPr>
              <w:rPr>
                <w:sz w:val="24"/>
                <w:szCs w:val="24"/>
              </w:rPr>
            </w:pPr>
          </w:p>
        </w:tc>
        <w:tc>
          <w:tcPr>
            <w:tcW w:w="230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07B2F" w:rsidRPr="005664C8" w:rsidRDefault="00B07B2F" w:rsidP="00B07B2F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5664C8">
              <w:rPr>
                <w:color w:val="000000"/>
                <w:sz w:val="24"/>
                <w:szCs w:val="24"/>
              </w:rPr>
              <w:t>{Usabiaga, Carlos and N{\'u}{\~n}ez, Fernando and Arendt, Lukasz and Ga{\l}ecka-Burdziak, Ewa and Pater, Robert</w:t>
            </w:r>
            <w:r w:rsidR="00FC3B21">
              <w:rPr>
                <w:color w:val="000000"/>
                <w:sz w:val="24"/>
                <w:szCs w:val="24"/>
              </w:rPr>
              <w:t>.</w:t>
            </w:r>
          </w:p>
          <w:p w:rsidR="00250741" w:rsidRPr="005664C8" w:rsidRDefault="00250741" w:rsidP="0043360C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50741" w:rsidRPr="00B07B2F" w:rsidRDefault="00B07B2F" w:rsidP="00433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</w:t>
            </w:r>
          </w:p>
        </w:tc>
        <w:tc>
          <w:tcPr>
            <w:tcW w:w="217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07B2F" w:rsidRPr="00B07B2F" w:rsidRDefault="00B07B2F" w:rsidP="00B07B2F">
            <w:pPr>
              <w:rPr>
                <w:rFonts w:ascii="Georgia" w:eastAsia="Times New Roman" w:hAnsi="Georgia" w:cs="Times New Roman"/>
                <w:color w:val="2E2E2E"/>
                <w:sz w:val="24"/>
                <w:szCs w:val="24"/>
              </w:rPr>
            </w:pPr>
            <w:r w:rsidRPr="00B07B2F">
              <w:rPr>
                <w:rFonts w:ascii="Georgia" w:eastAsia="Times New Roman" w:hAnsi="Georgia" w:cs="Times New Roman"/>
                <w:color w:val="2E2E2E"/>
                <w:sz w:val="24"/>
                <w:szCs w:val="24"/>
              </w:rPr>
              <w:t>Contingency table</w:t>
            </w:r>
            <w:r w:rsidR="005664C8" w:rsidRPr="005664C8">
              <w:rPr>
                <w:rFonts w:ascii="Georgia" w:eastAsia="Times New Roman" w:hAnsi="Georgia" w:cs="Times New Roman"/>
                <w:color w:val="2E2E2E"/>
                <w:sz w:val="24"/>
                <w:szCs w:val="24"/>
              </w:rPr>
              <w:t>,</w:t>
            </w:r>
          </w:p>
          <w:p w:rsidR="00B07B2F" w:rsidRPr="00B07B2F" w:rsidRDefault="00B07B2F" w:rsidP="00B07B2F">
            <w:pPr>
              <w:rPr>
                <w:rFonts w:ascii="Georgia" w:eastAsia="Times New Roman" w:hAnsi="Georgia" w:cs="Times New Roman"/>
                <w:color w:val="2E2E2E"/>
                <w:sz w:val="24"/>
                <w:szCs w:val="24"/>
              </w:rPr>
            </w:pPr>
            <w:r w:rsidRPr="00B07B2F">
              <w:rPr>
                <w:rFonts w:ascii="Georgia" w:eastAsia="Times New Roman" w:hAnsi="Georgia" w:cs="Times New Roman"/>
                <w:color w:val="2E2E2E"/>
                <w:sz w:val="24"/>
                <w:szCs w:val="24"/>
              </w:rPr>
              <w:t>Cluster analysis</w:t>
            </w:r>
            <w:r w:rsidR="005664C8" w:rsidRPr="005664C8">
              <w:rPr>
                <w:rFonts w:ascii="Georgia" w:eastAsia="Times New Roman" w:hAnsi="Georgia" w:cs="Times New Roman"/>
                <w:color w:val="2E2E2E"/>
                <w:sz w:val="24"/>
                <w:szCs w:val="24"/>
              </w:rPr>
              <w:t>,</w:t>
            </w:r>
          </w:p>
          <w:p w:rsidR="00B07B2F" w:rsidRPr="00B07B2F" w:rsidRDefault="00B07B2F" w:rsidP="00B07B2F">
            <w:pPr>
              <w:rPr>
                <w:rFonts w:ascii="Georgia" w:eastAsia="Times New Roman" w:hAnsi="Georgia" w:cs="Times New Roman"/>
                <w:color w:val="2E2E2E"/>
                <w:sz w:val="24"/>
                <w:szCs w:val="24"/>
              </w:rPr>
            </w:pPr>
            <w:r w:rsidRPr="00B07B2F">
              <w:rPr>
                <w:rFonts w:ascii="Georgia" w:eastAsia="Times New Roman" w:hAnsi="Georgia" w:cs="Times New Roman"/>
                <w:color w:val="2E2E2E"/>
                <w:sz w:val="24"/>
                <w:szCs w:val="24"/>
              </w:rPr>
              <w:t xml:space="preserve">Labour </w:t>
            </w:r>
            <w:r w:rsidR="005664C8" w:rsidRPr="005664C8">
              <w:rPr>
                <w:rFonts w:ascii="Georgia" w:eastAsia="Times New Roman" w:hAnsi="Georgia" w:cs="Times New Roman"/>
                <w:color w:val="2E2E2E"/>
                <w:sz w:val="24"/>
                <w:szCs w:val="24"/>
              </w:rPr>
              <w:t>polarization,</w:t>
            </w:r>
          </w:p>
          <w:p w:rsidR="00B07B2F" w:rsidRPr="00B07B2F" w:rsidRDefault="00B07B2F" w:rsidP="00B07B2F">
            <w:pPr>
              <w:rPr>
                <w:rFonts w:ascii="Georgia" w:eastAsia="Times New Roman" w:hAnsi="Georgia" w:cs="Times New Roman"/>
                <w:color w:val="2E2E2E"/>
                <w:sz w:val="24"/>
                <w:szCs w:val="24"/>
              </w:rPr>
            </w:pPr>
            <w:r w:rsidRPr="00B07B2F">
              <w:rPr>
                <w:rFonts w:ascii="Georgia" w:eastAsia="Times New Roman" w:hAnsi="Georgia" w:cs="Times New Roman"/>
                <w:color w:val="2E2E2E"/>
                <w:sz w:val="24"/>
                <w:szCs w:val="24"/>
              </w:rPr>
              <w:t>Online job offers</w:t>
            </w:r>
            <w:r w:rsidR="005664C8" w:rsidRPr="005664C8">
              <w:rPr>
                <w:rFonts w:ascii="Georgia" w:eastAsia="Times New Roman" w:hAnsi="Georgia" w:cs="Times New Roman"/>
                <w:color w:val="2E2E2E"/>
                <w:sz w:val="24"/>
                <w:szCs w:val="24"/>
              </w:rPr>
              <w:t>,</w:t>
            </w:r>
          </w:p>
          <w:p w:rsidR="00B07B2F" w:rsidRPr="00B07B2F" w:rsidRDefault="00B07B2F" w:rsidP="00B07B2F">
            <w:pPr>
              <w:rPr>
                <w:rFonts w:ascii="Georgia" w:eastAsia="Times New Roman" w:hAnsi="Georgia" w:cs="Times New Roman"/>
                <w:color w:val="2E2E2E"/>
                <w:sz w:val="24"/>
                <w:szCs w:val="24"/>
              </w:rPr>
            </w:pPr>
            <w:r w:rsidRPr="00B07B2F">
              <w:rPr>
                <w:rFonts w:ascii="Georgia" w:eastAsia="Times New Roman" w:hAnsi="Georgia" w:cs="Times New Roman"/>
                <w:color w:val="2E2E2E"/>
                <w:sz w:val="24"/>
                <w:szCs w:val="24"/>
              </w:rPr>
              <w:t>Polish labour market</w:t>
            </w:r>
            <w:r w:rsidR="00FC3B21">
              <w:rPr>
                <w:rFonts w:ascii="Georgia" w:eastAsia="Times New Roman" w:hAnsi="Georgia" w:cs="Times New Roman"/>
                <w:color w:val="2E2E2E"/>
                <w:sz w:val="24"/>
                <w:szCs w:val="24"/>
              </w:rPr>
              <w:t>.</w:t>
            </w:r>
          </w:p>
          <w:p w:rsidR="00250741" w:rsidRPr="005664C8" w:rsidRDefault="00250741" w:rsidP="0043360C">
            <w:pPr>
              <w:rPr>
                <w:sz w:val="24"/>
                <w:szCs w:val="24"/>
              </w:rPr>
            </w:pPr>
          </w:p>
        </w:tc>
        <w:tc>
          <w:tcPr>
            <w:tcW w:w="286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50741" w:rsidRPr="005664C8" w:rsidRDefault="005664C8" w:rsidP="0043360C">
            <w:pPr>
              <w:rPr>
                <w:sz w:val="24"/>
                <w:szCs w:val="24"/>
              </w:rPr>
            </w:pPr>
            <w:r w:rsidRPr="005664C8">
              <w:rPr>
                <w:rFonts w:ascii="Georgia" w:hAnsi="Georgia"/>
                <w:color w:val="2E2E2E"/>
                <w:sz w:val="24"/>
                <w:szCs w:val="24"/>
              </w:rPr>
              <w:t> As for wages, average gross wage in 2020 ranged from 4763 PLN in the Warmia and Mazury regions to 6562 PLN in the Mazowieckie region (in relative terms this translates into a 38% difference in wages between high-wage and low-wage regions).</w:t>
            </w:r>
          </w:p>
        </w:tc>
      </w:tr>
    </w:tbl>
    <w:p w:rsidR="000A357B" w:rsidRDefault="000A357B" w:rsidP="00250741">
      <w:pPr>
        <w:ind w:left="4215"/>
        <w:rPr>
          <w:b/>
          <w:sz w:val="32"/>
          <w:szCs w:val="32"/>
        </w:rPr>
      </w:pPr>
    </w:p>
    <w:p w:rsidR="00E149E9" w:rsidRDefault="00E149E9" w:rsidP="00250741">
      <w:pPr>
        <w:ind w:left="4215"/>
        <w:rPr>
          <w:b/>
          <w:sz w:val="32"/>
          <w:szCs w:val="32"/>
        </w:rPr>
      </w:pPr>
    </w:p>
    <w:p w:rsidR="00E149E9" w:rsidRDefault="00E149E9" w:rsidP="00E149E9">
      <w:pPr>
        <w:rPr>
          <w:b/>
          <w:sz w:val="32"/>
          <w:szCs w:val="32"/>
        </w:rPr>
      </w:pPr>
    </w:p>
    <w:p w:rsidR="00E149E9" w:rsidRPr="00250741" w:rsidRDefault="00E149E9" w:rsidP="00E14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="00FC3B21">
        <w:rPr>
          <w:b/>
          <w:sz w:val="32"/>
          <w:szCs w:val="32"/>
        </w:rPr>
        <w:t xml:space="preserve">                          </w:t>
      </w:r>
    </w:p>
    <w:sectPr w:rsidR="00E149E9" w:rsidRPr="00250741" w:rsidSect="00882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AE5" w:rsidRDefault="002A4AE5" w:rsidP="00EC30DB">
      <w:pPr>
        <w:spacing w:after="0" w:line="240" w:lineRule="auto"/>
      </w:pPr>
      <w:r>
        <w:separator/>
      </w:r>
    </w:p>
  </w:endnote>
  <w:endnote w:type="continuationSeparator" w:id="1">
    <w:p w:rsidR="002A4AE5" w:rsidRDefault="002A4AE5" w:rsidP="00EC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AE5" w:rsidRDefault="002A4AE5" w:rsidP="00EC30DB">
      <w:pPr>
        <w:spacing w:after="0" w:line="240" w:lineRule="auto"/>
      </w:pPr>
      <w:r>
        <w:separator/>
      </w:r>
    </w:p>
  </w:footnote>
  <w:footnote w:type="continuationSeparator" w:id="1">
    <w:p w:rsidR="002A4AE5" w:rsidRDefault="002A4AE5" w:rsidP="00EC3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F13B6"/>
    <w:multiLevelType w:val="hybridMultilevel"/>
    <w:tmpl w:val="E4760D74"/>
    <w:lvl w:ilvl="0" w:tplc="0409000F">
      <w:start w:val="1"/>
      <w:numFmt w:val="decimal"/>
      <w:lvlText w:val="%1."/>
      <w:lvlJc w:val="left"/>
      <w:pPr>
        <w:ind w:left="4935" w:hanging="360"/>
      </w:pPr>
    </w:lvl>
    <w:lvl w:ilvl="1" w:tplc="04090019" w:tentative="1">
      <w:start w:val="1"/>
      <w:numFmt w:val="lowerLetter"/>
      <w:lvlText w:val="%2."/>
      <w:lvlJc w:val="left"/>
      <w:pPr>
        <w:ind w:left="5655" w:hanging="360"/>
      </w:pPr>
    </w:lvl>
    <w:lvl w:ilvl="2" w:tplc="0409001B" w:tentative="1">
      <w:start w:val="1"/>
      <w:numFmt w:val="lowerRoman"/>
      <w:lvlText w:val="%3."/>
      <w:lvlJc w:val="right"/>
      <w:pPr>
        <w:ind w:left="6375" w:hanging="180"/>
      </w:pPr>
    </w:lvl>
    <w:lvl w:ilvl="3" w:tplc="0409000F" w:tentative="1">
      <w:start w:val="1"/>
      <w:numFmt w:val="decimal"/>
      <w:lvlText w:val="%4."/>
      <w:lvlJc w:val="left"/>
      <w:pPr>
        <w:ind w:left="7095" w:hanging="360"/>
      </w:pPr>
    </w:lvl>
    <w:lvl w:ilvl="4" w:tplc="04090019" w:tentative="1">
      <w:start w:val="1"/>
      <w:numFmt w:val="lowerLetter"/>
      <w:lvlText w:val="%5."/>
      <w:lvlJc w:val="left"/>
      <w:pPr>
        <w:ind w:left="7815" w:hanging="360"/>
      </w:pPr>
    </w:lvl>
    <w:lvl w:ilvl="5" w:tplc="0409001B" w:tentative="1">
      <w:start w:val="1"/>
      <w:numFmt w:val="lowerRoman"/>
      <w:lvlText w:val="%6."/>
      <w:lvlJc w:val="right"/>
      <w:pPr>
        <w:ind w:left="8535" w:hanging="180"/>
      </w:pPr>
    </w:lvl>
    <w:lvl w:ilvl="6" w:tplc="0409000F" w:tentative="1">
      <w:start w:val="1"/>
      <w:numFmt w:val="decimal"/>
      <w:lvlText w:val="%7."/>
      <w:lvlJc w:val="left"/>
      <w:pPr>
        <w:ind w:left="9255" w:hanging="360"/>
      </w:pPr>
    </w:lvl>
    <w:lvl w:ilvl="7" w:tplc="04090019" w:tentative="1">
      <w:start w:val="1"/>
      <w:numFmt w:val="lowerLetter"/>
      <w:lvlText w:val="%8."/>
      <w:lvlJc w:val="left"/>
      <w:pPr>
        <w:ind w:left="9975" w:hanging="360"/>
      </w:pPr>
    </w:lvl>
    <w:lvl w:ilvl="8" w:tplc="0409001B" w:tentative="1">
      <w:start w:val="1"/>
      <w:numFmt w:val="lowerRoman"/>
      <w:lvlText w:val="%9."/>
      <w:lvlJc w:val="right"/>
      <w:pPr>
        <w:ind w:left="1069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5942"/>
    <w:rsid w:val="000A357B"/>
    <w:rsid w:val="00250741"/>
    <w:rsid w:val="002A4AE5"/>
    <w:rsid w:val="00455DCB"/>
    <w:rsid w:val="005664C8"/>
    <w:rsid w:val="006B0074"/>
    <w:rsid w:val="007A1A1A"/>
    <w:rsid w:val="00882689"/>
    <w:rsid w:val="00B07B2F"/>
    <w:rsid w:val="00D35942"/>
    <w:rsid w:val="00E149E9"/>
    <w:rsid w:val="00EC30DB"/>
    <w:rsid w:val="00FC3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9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07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74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C3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30DB"/>
  </w:style>
  <w:style w:type="paragraph" w:styleId="Footer">
    <w:name w:val="footer"/>
    <w:basedOn w:val="Normal"/>
    <w:link w:val="FooterChar"/>
    <w:uiPriority w:val="99"/>
    <w:semiHidden/>
    <w:unhideWhenUsed/>
    <w:rsid w:val="00EC3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30DB"/>
  </w:style>
  <w:style w:type="character" w:styleId="Emphasis">
    <w:name w:val="Emphasis"/>
    <w:basedOn w:val="DefaultParagraphFont"/>
    <w:uiPriority w:val="20"/>
    <w:qFormat/>
    <w:rsid w:val="00FC3B2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Mani</cp:lastModifiedBy>
  <cp:revision>5</cp:revision>
  <dcterms:created xsi:type="dcterms:W3CDTF">2022-10-01T13:39:00Z</dcterms:created>
  <dcterms:modified xsi:type="dcterms:W3CDTF">2022-10-02T13:38:00Z</dcterms:modified>
</cp:coreProperties>
</file>