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Assignments 3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Team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 xml:space="preserve">Aravinth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Muthamizh selvan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Arikrishnan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Prakash Raj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                                                                           </w:t>
      </w:r>
    </w:p>
    <w:p>
      <w:pPr>
        <w:tabs>
          <w:tab w:pos="8797" w:val="left" w:leader="none"/>
        </w:tabs>
      </w:pPr>
      <w:r>
        <w:rPr/>
        <w:tab/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eeecc0b-b304-45de-b7cc-2c9ee6170d6e" w:fontKey="{00000000-0000-0000-0000-000000000000}" w:subsetted="0"/>
  </w:font>
  <w:font w:name="Liberation Serif Regular">
    <w:embedRegular r:id="rId59785879-5aec-45aa-bb2e-632953789a95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7634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57634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9785879-5aec-45aa-bb2e-632953789a95" Target="fonts/liberationserifregular.ttf" Type="http://schemas.openxmlformats.org/officeDocument/2006/relationships/font"/>
<Relationship Id="rId5eeecc0b-b304-45de-b7cc-2c9ee6170d6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754509876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2022-11-04T06:58:18Z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