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B9" w:rsidRDefault="00A63CB9" w:rsidP="00A63CB9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A63CB9">
        <w:rPr>
          <w:rFonts w:ascii="Times New Roman" w:hAnsi="Times New Roman" w:cs="Times New Roman"/>
          <w:noProof/>
          <w:sz w:val="72"/>
          <w:szCs w:val="72"/>
        </w:rPr>
        <w:t>Working with the dataset</w:t>
      </w:r>
    </w:p>
    <w:p w:rsidR="003E2E1A" w:rsidRPr="003E2E1A" w:rsidRDefault="003E2E1A" w:rsidP="003E2E1A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A63CB9">
        <w:rPr>
          <w:rFonts w:ascii="Times New Roman" w:hAnsi="Times New Roman" w:cs="Times New Roman"/>
          <w:b/>
          <w:noProof/>
          <w:sz w:val="44"/>
          <w:szCs w:val="44"/>
        </w:rPr>
        <w:t>Data preparation</w:t>
      </w: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A63CB9" w:rsidTr="00A63CB9">
        <w:tc>
          <w:tcPr>
            <w:tcW w:w="2358" w:type="dxa"/>
          </w:tcPr>
          <w:p w:rsidR="00A63CB9" w:rsidRPr="00A63CB9" w:rsidRDefault="00A63CB9" w:rsidP="00A63CB9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Project name</w:t>
            </w:r>
          </w:p>
        </w:tc>
        <w:tc>
          <w:tcPr>
            <w:tcW w:w="7218" w:type="dxa"/>
          </w:tcPr>
          <w:p w:rsidR="00A63CB9" w:rsidRDefault="00A63CB9" w:rsidP="00A63CB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Airlines Data Analytics For Aviation Industry</w:t>
            </w:r>
          </w:p>
        </w:tc>
      </w:tr>
      <w:tr w:rsidR="00A63CB9" w:rsidTr="00A63CB9">
        <w:tc>
          <w:tcPr>
            <w:tcW w:w="2358" w:type="dxa"/>
          </w:tcPr>
          <w:p w:rsidR="00A63CB9" w:rsidRPr="00A63CB9" w:rsidRDefault="00A63CB9" w:rsidP="00A63CB9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Project ID</w:t>
            </w:r>
          </w:p>
        </w:tc>
        <w:tc>
          <w:tcPr>
            <w:tcW w:w="7218" w:type="dxa"/>
          </w:tcPr>
          <w:p w:rsidR="00A63CB9" w:rsidRDefault="00A63CB9" w:rsidP="00A63CB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PNT2022TMID44838</w:t>
            </w:r>
          </w:p>
        </w:tc>
      </w:tr>
    </w:tbl>
    <w:p w:rsidR="00A63CB9" w:rsidRPr="00A63CB9" w:rsidRDefault="00A63CB9" w:rsidP="00A63CB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F77248" w:rsidRDefault="00A63CB9" w:rsidP="00F77248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A63CB9">
        <w:rPr>
          <w:rFonts w:ascii="Times New Roman" w:hAnsi="Times New Roman" w:cs="Times New Roman"/>
          <w:b/>
          <w:noProof/>
          <w:sz w:val="44"/>
          <w:szCs w:val="44"/>
        </w:rPr>
        <w:t>Data preparation</w:t>
      </w:r>
    </w:p>
    <w:p w:rsidR="00A63CB9" w:rsidRPr="00F77248" w:rsidRDefault="00F77248" w:rsidP="00F77248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</w:t>
      </w:r>
      <w:r w:rsidR="00A63CB9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A63CB9" w:rsidRPr="00A63CB9">
        <w:rPr>
          <w:rFonts w:ascii="Times New Roman" w:hAnsi="Times New Roman" w:cs="Times New Roman"/>
          <w:noProof/>
          <w:sz w:val="36"/>
          <w:szCs w:val="36"/>
        </w:rPr>
        <w:t>Data science allows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for more sophisticated ways to </w:t>
      </w:r>
      <w:r w:rsidR="00A63CB9">
        <w:rPr>
          <w:rFonts w:ascii="Times New Roman" w:hAnsi="Times New Roman" w:cs="Times New Roman"/>
          <w:noProof/>
          <w:sz w:val="36"/>
          <w:szCs w:val="36"/>
        </w:rPr>
        <w:t xml:space="preserve">accomplish </w:t>
      </w:r>
      <w:r w:rsidR="00A63CB9" w:rsidRPr="00A63CB9">
        <w:rPr>
          <w:rFonts w:ascii="Times New Roman" w:hAnsi="Times New Roman" w:cs="Times New Roman"/>
          <w:noProof/>
          <w:sz w:val="36"/>
          <w:szCs w:val="36"/>
        </w:rPr>
        <w:t>demand analysis. </w:t>
      </w:r>
      <w:r>
        <w:rPr>
          <w:rFonts w:ascii="Times New Roman" w:hAnsi="Times New Roman" w:cs="Times New Roman"/>
          <w:noProof/>
          <w:sz w:val="36"/>
          <w:szCs w:val="36"/>
        </w:rPr>
        <w:t xml:space="preserve">IATA suggests that airlines can </w:t>
      </w:r>
      <w:r w:rsidR="00A63CB9" w:rsidRPr="00A63CB9">
        <w:rPr>
          <w:rFonts w:ascii="Times New Roman" w:hAnsi="Times New Roman" w:cs="Times New Roman"/>
          <w:noProof/>
          <w:sz w:val="36"/>
          <w:szCs w:val="36"/>
        </w:rPr>
        <w:t>use traveler behavioral data,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abandon searches on the online </w:t>
      </w:r>
      <w:r w:rsidR="00A63CB9" w:rsidRPr="00A63CB9">
        <w:rPr>
          <w:rFonts w:ascii="Times New Roman" w:hAnsi="Times New Roman" w:cs="Times New Roman"/>
          <w:noProof/>
          <w:sz w:val="36"/>
          <w:szCs w:val="36"/>
        </w:rPr>
        <w:t>travel agents, and meta search si</w:t>
      </w:r>
      <w:r>
        <w:rPr>
          <w:rFonts w:ascii="Times New Roman" w:hAnsi="Times New Roman" w:cs="Times New Roman"/>
          <w:noProof/>
          <w:sz w:val="36"/>
          <w:szCs w:val="36"/>
        </w:rPr>
        <w:t xml:space="preserve">tes or social media chatter can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help define leisu</w:t>
      </w:r>
      <w:r>
        <w:rPr>
          <w:rFonts w:ascii="Times New Roman" w:hAnsi="Times New Roman" w:cs="Times New Roman"/>
          <w:noProof/>
          <w:sz w:val="36"/>
          <w:szCs w:val="36"/>
        </w:rPr>
        <w:t>re demand.</w:t>
      </w:r>
    </w:p>
    <w:p w:rsidR="00A63CB9" w:rsidRPr="00A63CB9" w:rsidRDefault="00A63CB9" w:rsidP="00A63CB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Data from professional networking sites recruitment and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A63CB9">
        <w:rPr>
          <w:rFonts w:ascii="Times New Roman" w:hAnsi="Times New Roman" w:cs="Times New Roman"/>
          <w:noProof/>
          <w:sz w:val="36"/>
          <w:szCs w:val="36"/>
        </w:rPr>
        <w:t xml:space="preserve">procurement activities may </w:t>
      </w:r>
      <w:r>
        <w:rPr>
          <w:rFonts w:ascii="Times New Roman" w:hAnsi="Times New Roman" w:cs="Times New Roman"/>
          <w:noProof/>
          <w:sz w:val="36"/>
          <w:szCs w:val="36"/>
        </w:rPr>
        <w:t xml:space="preserve">signal emerging business travel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destinations. In a 2017 showcase for airlines, S</w:t>
      </w:r>
      <w:r>
        <w:rPr>
          <w:rFonts w:ascii="Times New Roman" w:hAnsi="Times New Roman" w:cs="Times New Roman"/>
          <w:noProof/>
          <w:sz w:val="36"/>
          <w:szCs w:val="36"/>
        </w:rPr>
        <w:t xml:space="preserve">ky scanner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used machine learning-base</w:t>
      </w:r>
      <w:r>
        <w:rPr>
          <w:rFonts w:ascii="Times New Roman" w:hAnsi="Times New Roman" w:cs="Times New Roman"/>
          <w:noProof/>
          <w:sz w:val="36"/>
          <w:szCs w:val="36"/>
        </w:rPr>
        <w:t xml:space="preserve">d clustering to the group about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50,000 origins and des</w:t>
      </w:r>
      <w:r>
        <w:rPr>
          <w:rFonts w:ascii="Times New Roman" w:hAnsi="Times New Roman" w:cs="Times New Roman"/>
          <w:noProof/>
          <w:sz w:val="36"/>
          <w:szCs w:val="36"/>
        </w:rPr>
        <w:t xml:space="preserve">tinations by similarities. They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considered about 30 parameter</w:t>
      </w:r>
      <w:r>
        <w:rPr>
          <w:rFonts w:ascii="Times New Roman" w:hAnsi="Times New Roman" w:cs="Times New Roman"/>
          <w:noProof/>
          <w:sz w:val="36"/>
          <w:szCs w:val="36"/>
        </w:rPr>
        <w:t xml:space="preserve">s like the month of travel, the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time a reservation is ma</w:t>
      </w:r>
      <w:r>
        <w:rPr>
          <w:rFonts w:ascii="Times New Roman" w:hAnsi="Times New Roman" w:cs="Times New Roman"/>
          <w:noProof/>
          <w:sz w:val="36"/>
          <w:szCs w:val="36"/>
        </w:rPr>
        <w:t xml:space="preserve">de, how long people stay at the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destination, and many more.</w:t>
      </w:r>
    </w:p>
    <w:p w:rsidR="00231A1F" w:rsidRPr="00A63CB9" w:rsidRDefault="00A63CB9" w:rsidP="00A63CB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</w:t>
      </w:r>
      <w:r w:rsidRPr="00A63CB9">
        <w:rPr>
          <w:rFonts w:ascii="Times New Roman" w:hAnsi="Times New Roman" w:cs="Times New Roman"/>
          <w:noProof/>
          <w:sz w:val="36"/>
          <w:szCs w:val="36"/>
        </w:rPr>
        <w:t xml:space="preserve">Some events like festivals conferences or expos, drive short-term spikes in demand so </w:t>
      </w:r>
      <w:r>
        <w:rPr>
          <w:rFonts w:ascii="Times New Roman" w:hAnsi="Times New Roman" w:cs="Times New Roman"/>
          <w:noProof/>
          <w:sz w:val="36"/>
          <w:szCs w:val="36"/>
        </w:rPr>
        <w:t xml:space="preserve">revenue teams can rely on event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data to raise fares for specific r</w:t>
      </w:r>
      <w:r>
        <w:rPr>
          <w:rFonts w:ascii="Times New Roman" w:hAnsi="Times New Roman" w:cs="Times New Roman"/>
          <w:noProof/>
          <w:sz w:val="36"/>
          <w:szCs w:val="36"/>
        </w:rPr>
        <w:t xml:space="preserve">outes and dates to benefit from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rising demand. Aviation ra</w:t>
      </w:r>
      <w:r>
        <w:rPr>
          <w:rFonts w:ascii="Times New Roman" w:hAnsi="Times New Roman" w:cs="Times New Roman"/>
          <w:noProof/>
          <w:sz w:val="36"/>
          <w:szCs w:val="36"/>
        </w:rPr>
        <w:t xml:space="preserve">nked by Predict HQ uses ranking </w:t>
      </w:r>
      <w:r w:rsidRPr="00A63CB9">
        <w:rPr>
          <w:rFonts w:ascii="Times New Roman" w:hAnsi="Times New Roman" w:cs="Times New Roman"/>
          <w:noProof/>
          <w:sz w:val="36"/>
          <w:szCs w:val="36"/>
        </w:rPr>
        <w:lastRenderedPageBreak/>
        <w:t>algorithms that match histor</w:t>
      </w:r>
      <w:r>
        <w:rPr>
          <w:rFonts w:ascii="Times New Roman" w:hAnsi="Times New Roman" w:cs="Times New Roman"/>
          <w:noProof/>
          <w:sz w:val="36"/>
          <w:szCs w:val="36"/>
        </w:rPr>
        <w:t xml:space="preserve">ical flight bookings with event </w:t>
      </w:r>
      <w:r w:rsidRPr="00A63CB9">
        <w:rPr>
          <w:rFonts w:ascii="Times New Roman" w:hAnsi="Times New Roman" w:cs="Times New Roman"/>
          <w:noProof/>
          <w:sz w:val="36"/>
          <w:szCs w:val="36"/>
        </w:rPr>
        <w:t>data to reveal how much a given event may affect traveler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demand.</w:t>
      </w:r>
    </w:p>
    <w:sectPr w:rsidR="00231A1F" w:rsidRPr="00A63CB9" w:rsidSect="0023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63CB9"/>
    <w:rsid w:val="00231A1F"/>
    <w:rsid w:val="003E2E1A"/>
    <w:rsid w:val="00A63CB9"/>
    <w:rsid w:val="00E36629"/>
    <w:rsid w:val="00F7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C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ELCOT</cp:lastModifiedBy>
  <cp:revision>2</cp:revision>
  <dcterms:created xsi:type="dcterms:W3CDTF">2022-11-18T04:58:00Z</dcterms:created>
  <dcterms:modified xsi:type="dcterms:W3CDTF">2022-11-18T06:31:00Z</dcterms:modified>
</cp:coreProperties>
</file>