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PNT2022TMID36312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GLOBAL SALES DATA ANALYTICS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2"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