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9E" w:rsidRPr="00343FA2" w:rsidRDefault="00343FA2" w:rsidP="00343FA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43FA2">
        <w:rPr>
          <w:rFonts w:ascii="Times New Roman" w:hAnsi="Times New Roman" w:cs="Times New Roman"/>
          <w:color w:val="000000" w:themeColor="text1"/>
          <w:sz w:val="36"/>
          <w:szCs w:val="36"/>
        </w:rPr>
        <w:t>Requirement analysis using critical thinking</w:t>
      </w:r>
    </w:p>
    <w:p w:rsidR="00343FA2" w:rsidRPr="00343FA2" w:rsidRDefault="00343FA2" w:rsidP="00343FA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43F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Functional &amp; operational </w:t>
      </w:r>
      <w:proofErr w:type="spellStart"/>
      <w:r w:rsidRPr="00343FA2">
        <w:rPr>
          <w:rFonts w:ascii="Times New Roman" w:hAnsi="Times New Roman" w:cs="Times New Roman"/>
          <w:color w:val="000000" w:themeColor="text1"/>
          <w:sz w:val="36"/>
          <w:szCs w:val="36"/>
        </w:rPr>
        <w:t>requirment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A1D3D" w:rsidTr="001A1D3D"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 September2022</w:t>
            </w:r>
          </w:p>
        </w:tc>
      </w:tr>
      <w:tr w:rsidR="001A1D3D" w:rsidTr="001A1D3D"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D6DF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PNT2022TMID43270</w:t>
            </w:r>
          </w:p>
        </w:tc>
      </w:tr>
      <w:tr w:rsidR="001A1D3D" w:rsidTr="001A1D3D"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Signs with smart connectivity for better road safety</w:t>
            </w:r>
          </w:p>
        </w:tc>
      </w:tr>
      <w:tr w:rsidR="001A1D3D" w:rsidTr="001A1D3D"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Maximum Mark</w:t>
            </w:r>
          </w:p>
        </w:tc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Marks</w:t>
            </w:r>
          </w:p>
        </w:tc>
      </w:tr>
    </w:tbl>
    <w:p w:rsidR="00343FA2" w:rsidRPr="001A1D3D" w:rsidRDefault="00343FA2" w:rsidP="00343FA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43FA2" w:rsidRPr="00343FA2" w:rsidRDefault="00714C9E" w:rsidP="00343FA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hyperlink r:id="rId4" w:history="1">
        <w:r w:rsidR="00343FA2" w:rsidRPr="00343FA2">
          <w:rPr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</w:rPr>
          <w:t>Best Practices in Mission-Assured, Mission-Critical, and Safety-Critical Systems</w:t>
        </w:r>
      </w:hyperlink>
      <w:r w:rsidR="00343FA2" w:rsidRPr="00343FA2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:rsidR="00343FA2" w:rsidRPr="00343FA2" w:rsidRDefault="00343FA2" w:rsidP="00343FA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343FA2" w:rsidRPr="00343FA2" w:rsidRDefault="00343FA2" w:rsidP="00343F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43FA2" w:rsidRDefault="00343FA2" w:rsidP="00343FA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343FA2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Requirements</w:t>
      </w:r>
    </w:p>
    <w:p w:rsidR="00343FA2" w:rsidRPr="00343FA2" w:rsidRDefault="00343FA2" w:rsidP="00343FA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</w:p>
    <w:p w:rsidR="00343FA2" w:rsidRPr="00343FA2" w:rsidRDefault="00C423A9" w:rsidP="00343FA2">
      <w:pPr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43FA2"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Requirements group under three primary headings: Operations, Functions, and Performance.</w:t>
      </w:r>
    </w:p>
    <w:p w:rsidR="00343FA2" w:rsidRPr="00343FA2" w:rsidRDefault="00343FA2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Operational Requirements</w:t>
      </w:r>
    </w:p>
    <w:p w:rsidR="00343FA2" w:rsidRPr="00343FA2" w:rsidRDefault="00343FA2" w:rsidP="00343F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Operational requirements pertain to the scenarios within which the product will operate. Operational requirements usually cover the following concerns:</w:t>
      </w:r>
    </w:p>
    <w:p w:rsidR="00343FA2" w:rsidRPr="00343FA2" w:rsidRDefault="00343FA2" w:rsidP="00343F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Mission profiles</w:t>
      </w:r>
    </w:p>
    <w:p w:rsidR="00343FA2" w:rsidRPr="00343FA2" w:rsidRDefault="00343FA2" w:rsidP="00343FA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Infrastructure needed</w:t>
      </w:r>
    </w:p>
    <w:p w:rsidR="00343FA2" w:rsidRPr="00343FA2" w:rsidRDefault="00343FA2" w:rsidP="00343F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Logistics and maintenance</w:t>
      </w:r>
    </w:p>
    <w:p w:rsidR="00343FA2" w:rsidRPr="00343FA2" w:rsidRDefault="00343FA2" w:rsidP="00343FA2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party for generating the requirements</w:t>
      </w:r>
    </w:p>
    <w:p w:rsidR="00343FA2" w:rsidRPr="00343FA2" w:rsidRDefault="00343FA2" w:rsidP="00343FA2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Environment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Shock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Vibration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Corrosion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Humidity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Temperature range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Radiation</w:t>
      </w:r>
    </w:p>
    <w:p w:rsidR="00343FA2" w:rsidRDefault="00343FA2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Functional Requirements</w:t>
      </w:r>
    </w:p>
    <w:p w:rsidR="00C423A9" w:rsidRPr="00343FA2" w:rsidRDefault="00C423A9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43FA2" w:rsidRPr="00343FA2" w:rsidRDefault="00C423A9" w:rsidP="00343FA2">
      <w:pPr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r w:rsidR="00343FA2"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 requirements pertain to the physical plant and situations within which the product will reside. Functional requirements usually cover the following concerns:</w:t>
      </w:r>
    </w:p>
    <w:p w:rsidR="00343FA2" w:rsidRPr="00343FA2" w:rsidRDefault="00343FA2" w:rsidP="00343F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Interfaces (ICDs)—Human, mechanical, electrical, software, special (e.g., optics)</w:t>
      </w:r>
    </w:p>
    <w:p w:rsidR="00343FA2" w:rsidRPr="00343FA2" w:rsidRDefault="00343FA2" w:rsidP="00343FA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Mechanical—Size, shape, weight, volume, density</w:t>
      </w:r>
    </w:p>
    <w:p w:rsidR="00343FA2" w:rsidRPr="00343FA2" w:rsidRDefault="00343FA2" w:rsidP="00343F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Electrical—Power sources, distribution</w:t>
      </w:r>
    </w:p>
    <w:p w:rsidR="00343FA2" w:rsidRPr="00343FA2" w:rsidRDefault="00343FA2" w:rsidP="00343FA2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party for generating the requirements</w:t>
      </w:r>
    </w:p>
    <w:p w:rsidR="00343FA2" w:rsidRDefault="00343FA2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Performance Requirements</w:t>
      </w:r>
    </w:p>
    <w:p w:rsidR="00C423A9" w:rsidRPr="00343FA2" w:rsidRDefault="00C423A9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43FA2" w:rsidRPr="00343FA2" w:rsidRDefault="00C423A9" w:rsidP="00343FA2">
      <w:pPr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343FA2"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Performance requirements pertain to the metrics and parameters that describe the product's capability. Performance requirements usually cover the following concerns:</w:t>
      </w:r>
    </w:p>
    <w:p w:rsidR="00343FA2" w:rsidRPr="00343FA2" w:rsidRDefault="00343FA2" w:rsidP="00343F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party for generating the requirements</w:t>
      </w:r>
    </w:p>
    <w:p w:rsidR="00343FA2" w:rsidRPr="00343FA2" w:rsidRDefault="00343FA2" w:rsidP="00343FA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Sensor parameters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Measurand</w:t>
      </w:r>
      <w:proofErr w:type="spellEnd"/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Speed of transduction—samples per second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Span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Full-scale output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Linearity—%, SNR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Threshold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Resolution—ENOB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Accuracy—SNR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Precision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Sensitivity—%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Hysteresis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Specificity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Noise—SNR, % budget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Stability</w:t>
      </w:r>
    </w:p>
    <w:p w:rsidR="00343FA2" w:rsidRPr="00343FA2" w:rsidRDefault="00343FA2" w:rsidP="00343F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714C9E" w:rsidP="00343FA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ooltip="Learn more about Data throughput from ScienceDirect's AI-generated Topic Pages" w:history="1">
        <w:r w:rsidR="00343FA2" w:rsidRPr="00343FA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Data throughput</w:t>
        </w:r>
      </w:hyperlink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Bytes or samples per second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transmission protocol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storage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Control</w:t>
      </w:r>
    </w:p>
    <w:p w:rsidR="00343FA2" w:rsidRPr="00343FA2" w:rsidRDefault="00343FA2" w:rsidP="00343FA2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Electrical—Power consumption, efficiency, signal integrity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Mechanical—Strength, motion required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Structural—Capability to withstand environments in mission profiles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Optical</w:t>
      </w:r>
    </w:p>
    <w:p w:rsidR="00343FA2" w:rsidRPr="00343FA2" w:rsidRDefault="00343FA2" w:rsidP="00343FA2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Calibration</w:t>
      </w:r>
    </w:p>
    <w:p w:rsidR="00343FA2" w:rsidRPr="00343FA2" w:rsidRDefault="00343FA2" w:rsidP="00343FA2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Dependability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Reliability</w:t>
      </w:r>
    </w:p>
    <w:p w:rsidR="00343FA2" w:rsidRPr="00343FA2" w:rsidRDefault="00714C9E" w:rsidP="00343FA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ooltip="Learn more about Maintainability from ScienceDirect's AI-generated Topic Pages" w:history="1">
        <w:r w:rsidR="00343FA2" w:rsidRPr="00343FA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Maintainability</w:t>
        </w:r>
      </w:hyperlink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Testability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Fault tolerance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Longevity</w:t>
      </w:r>
    </w:p>
    <w:p w:rsidR="00343FA2" w:rsidRPr="00343FA2" w:rsidRDefault="00343FA2" w:rsidP="00343FA2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 consumption</w:t>
      </w:r>
    </w:p>
    <w:p w:rsidR="00343FA2" w:rsidRPr="00343FA2" w:rsidRDefault="00343FA2" w:rsidP="00343FA2">
      <w:pPr>
        <w:spacing w:after="0" w:line="240" w:lineRule="auto"/>
        <w:ind w:left="25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Dissipation and cooling</w:t>
      </w:r>
    </w:p>
    <w:p w:rsidR="00343FA2" w:rsidRPr="00343FA2" w:rsidRDefault="00343FA2" w:rsidP="00343FA2">
      <w:pP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Electromagnetic compatibility (EMC)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Conducted susceptibility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Radiated susceptibility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Conducted interference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Radiated interference</w:t>
      </w:r>
    </w:p>
    <w:p w:rsidR="00343FA2" w:rsidRPr="00343FA2" w:rsidRDefault="00343FA2" w:rsidP="00343F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43FA2" w:rsidRPr="00343FA2" w:rsidRDefault="00343FA2" w:rsidP="00343FA2">
      <w:pPr>
        <w:pStyle w:val="Heading2"/>
        <w:spacing w:before="0" w:beforeAutospacing="0" w:after="0" w:afterAutospacing="0"/>
        <w:rPr>
          <w:bCs w:val="0"/>
          <w:color w:val="2E2E2E"/>
        </w:rPr>
      </w:pPr>
      <w:r w:rsidRPr="00343FA2">
        <w:rPr>
          <w:color w:val="000000" w:themeColor="text1"/>
        </w:rPr>
        <w:t xml:space="preserve"> </w:t>
      </w:r>
      <w:hyperlink r:id="rId7" w:history="1">
        <w:r w:rsidRPr="00343FA2">
          <w:rPr>
            <w:bCs w:val="0"/>
            <w:color w:val="2E2E2E"/>
          </w:rPr>
          <w:t xml:space="preserve">Design of vacuum system and support structure for plasma facing components of SST1 </w:t>
        </w:r>
        <w:proofErr w:type="spellStart"/>
        <w:r w:rsidRPr="00343FA2">
          <w:rPr>
            <w:bCs w:val="0"/>
            <w:color w:val="2E2E2E"/>
          </w:rPr>
          <w:t>Tokamak</w:t>
        </w:r>
        <w:proofErr w:type="spellEnd"/>
      </w:hyperlink>
    </w:p>
    <w:p w:rsidR="00343FA2" w:rsidRPr="00343FA2" w:rsidRDefault="00343FA2" w:rsidP="0034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FA2" w:rsidRDefault="00343FA2" w:rsidP="00343FA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2E2E2E"/>
          <w:sz w:val="27"/>
          <w:szCs w:val="27"/>
        </w:rPr>
      </w:pPr>
      <w:r w:rsidRPr="00343FA2">
        <w:rPr>
          <w:rFonts w:ascii="Times New Roman" w:eastAsia="Times New Roman" w:hAnsi="Times New Roman" w:cs="Times New Roman"/>
          <w:b/>
          <w:color w:val="2E2E2E"/>
          <w:sz w:val="27"/>
          <w:szCs w:val="27"/>
        </w:rPr>
        <w:t>2.1 Vacuum vessel</w:t>
      </w:r>
    </w:p>
    <w:p w:rsidR="00343FA2" w:rsidRPr="00343FA2" w:rsidRDefault="00343FA2" w:rsidP="00343FA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2E2E2E"/>
          <w:sz w:val="27"/>
          <w:szCs w:val="27"/>
        </w:rPr>
      </w:pPr>
    </w:p>
    <w:p w:rsidR="00C423A9" w:rsidRDefault="00C423A9" w:rsidP="0034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The design and </w:t>
      </w:r>
      <w:r w:rsidR="00343FA2" w:rsidRPr="00343FA2">
        <w:rPr>
          <w:rFonts w:ascii="Times New Roman" w:eastAsia="Times New Roman" w:hAnsi="Times New Roman" w:cs="Times New Roman"/>
          <w:color w:val="2E2E2E"/>
          <w:sz w:val="24"/>
          <w:szCs w:val="24"/>
        </w:rPr>
        <w:t>operational requirements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 are (a) vessel should be UHV compatible, (b) vessel temperature will be 475 K during baking and 425 K during wall conditioning, (c) vessel and radial ports must have enough space for human entry inside the vessel and (d) vessel L/R time constant should be as large as possible to shield the superconducting coils from time varying magnetic field generated due to plasma movement. The estimated L/R time constant of only vacuum vessel is 7 × 10</w:t>
      </w:r>
      <w:r w:rsidR="00343FA2" w:rsidRPr="00343FA2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−3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 s. The vessel should be modular to remove and insert the vessel module if required for repair of a coil or vessel. This demands the </w:t>
      </w:r>
      <w:proofErr w:type="spell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insitu</w:t>
      </w:r>
      <w:proofErr w:type="spell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UHV welding of vessel modules. Vessel is made up of sixteen wedge shaped sectors which are joined together by sixteen 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lastRenderedPageBreak/>
        <w:t>interconnecting rings to form a complete torus. Each wedge sector contains two vertical ports and one radial port.</w:t>
      </w:r>
    </w:p>
    <w:p w:rsidR="00C423A9" w:rsidRDefault="00C423A9" w:rsidP="0034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The material of vessel is SS 304L. The volume of the vessel </w:t>
      </w:r>
      <w:proofErr w:type="spell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port openings is 16 m</w:t>
      </w:r>
      <w:r w:rsidR="00343FA2" w:rsidRPr="00343FA2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3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 and the surface area exposed to UHV is 68 m</w:t>
      </w:r>
      <w:r w:rsidR="00343FA2" w:rsidRPr="00343FA2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2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. Figure 2 shows the top view of the vessel. The wall thickness of vessel is 10 mm and that of port is 6 mm. The inlet pressure and temperature of nitrogen gas to maintain the vessel at 475 K will be 5 bar and 550 K respectively with 287 W/m</w:t>
      </w:r>
      <w:r w:rsidR="00343FA2" w:rsidRPr="00343FA2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2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K heat transfer coefficient between gas and the tube wall. It may not be possible to carry out GDC between plasma discharges due to superconducting </w:t>
      </w:r>
      <w:proofErr w:type="spell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toroidal</w:t>
      </w:r>
      <w:proofErr w:type="spell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magnetic field coils.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FA2" w:rsidRPr="00343FA2" w:rsidRDefault="00C423A9" w:rsidP="0034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For this ECR plasma wall conditioning is planned. The stresses developed on the vessel wall due to internal and external pressure of 850 </w:t>
      </w:r>
      <w:proofErr w:type="spell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torr</w:t>
      </w:r>
      <w:proofErr w:type="spell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are calculated using pressure vessel design codes [1]. The estimated collapsing pressure is about 10 </w:t>
      </w:r>
      <w:proofErr w:type="gram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gram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with 10 mm wall thickness. Also, the calculated average maximum stress with 10 mm wall thickness is about 18 times less than the yield strength of SS 304L material.</w:t>
      </w:r>
    </w:p>
    <w:p w:rsidR="00343FA2" w:rsidRPr="00343FA2" w:rsidRDefault="00343FA2" w:rsidP="00343FA2">
      <w:pPr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>
        <w:rPr>
          <w:rFonts w:ascii="Arial" w:eastAsia="Times New Roman" w:hAnsi="Arial" w:cs="Arial"/>
          <w:noProof/>
          <w:color w:val="2E2E2E"/>
          <w:sz w:val="21"/>
          <w:szCs w:val="21"/>
        </w:rPr>
        <w:drawing>
          <wp:inline distT="0" distB="0" distL="0" distR="0">
            <wp:extent cx="3248025" cy="3019425"/>
            <wp:effectExtent l="19050" t="0" r="9525" b="0"/>
            <wp:docPr id="1" name="Picture 1" descr="https://ars.els-cdn.com/content/image/3-s2.0-B9780444827623501701-f165-02-9780444827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3-s2.0-B9780444827623501701-f165-02-97804448276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A9" w:rsidRDefault="00C423A9" w:rsidP="00C423A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334000" cy="4019550"/>
            <wp:effectExtent l="19050" t="0" r="0" b="0"/>
            <wp:docPr id="3" name="Picture 3" descr="Top 8 IoT applications and examples in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8 IoT applications and examples in busines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A9" w:rsidRPr="00343FA2" w:rsidRDefault="00C423A9" w:rsidP="00C423A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557483"/>
            <wp:effectExtent l="19050" t="0" r="0" b="0"/>
            <wp:docPr id="6" name="Picture 6" descr="Internet of Things is a revolutionary approach for future technology  enhancement: a review | Journal of Big Data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rnet of Things is a revolutionary approach for future technology  enhancement: a review | Journal of Big Data | Full Tex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3A9" w:rsidRPr="00343FA2" w:rsidSect="0071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3FA2"/>
    <w:rsid w:val="001A1D3D"/>
    <w:rsid w:val="00343FA2"/>
    <w:rsid w:val="00714C9E"/>
    <w:rsid w:val="00C42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9E"/>
  </w:style>
  <w:style w:type="paragraph" w:styleId="Heading2">
    <w:name w:val="heading 2"/>
    <w:basedOn w:val="Normal"/>
    <w:link w:val="Heading2Char"/>
    <w:uiPriority w:val="9"/>
    <w:qFormat/>
    <w:rsid w:val="00343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3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3F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F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43F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3F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3F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3FA2"/>
    <w:rPr>
      <w:color w:val="0000FF"/>
      <w:u w:val="single"/>
    </w:rPr>
  </w:style>
  <w:style w:type="character" w:customStyle="1" w:styleId="anchor-text">
    <w:name w:val="anchor-text"/>
    <w:basedOn w:val="DefaultParagraphFont"/>
    <w:rsid w:val="00343FA2"/>
  </w:style>
  <w:style w:type="paragraph" w:styleId="NormalWeb">
    <w:name w:val="Normal (Web)"/>
    <w:basedOn w:val="Normal"/>
    <w:uiPriority w:val="99"/>
    <w:semiHidden/>
    <w:unhideWhenUsed/>
    <w:rsid w:val="0034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pic-highlight">
    <w:name w:val="topic-highlight"/>
    <w:basedOn w:val="DefaultParagraphFont"/>
    <w:rsid w:val="00343FA2"/>
  </w:style>
  <w:style w:type="character" w:customStyle="1" w:styleId="link-button-text">
    <w:name w:val="link-button-text"/>
    <w:basedOn w:val="DefaultParagraphFont"/>
    <w:rsid w:val="00343FA2"/>
  </w:style>
  <w:style w:type="paragraph" w:styleId="BalloonText">
    <w:name w:val="Balloon Text"/>
    <w:basedOn w:val="Normal"/>
    <w:link w:val="BalloonTextChar"/>
    <w:uiPriority w:val="99"/>
    <w:semiHidden/>
    <w:unhideWhenUsed/>
    <w:rsid w:val="0034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B97804448276235017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computer-science/maintainabi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topics/computer-science/throughput-data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sciencedirect.com/science/article/pii/B9780750685672000019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3</cp:revision>
  <dcterms:created xsi:type="dcterms:W3CDTF">2022-11-10T06:00:00Z</dcterms:created>
  <dcterms:modified xsi:type="dcterms:W3CDTF">2022-11-10T10:54:00Z</dcterms:modified>
</cp:coreProperties>
</file>