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F02" w:rsidRDefault="00C5102B" w:rsidP="00C5102B">
      <w:pPr>
        <w:jc w:val="center"/>
        <w:rPr>
          <w:rFonts w:ascii="Times New Roman" w:hAnsi="Times New Roman" w:cs="Times New Roman"/>
          <w:sz w:val="36"/>
          <w:szCs w:val="36"/>
        </w:rPr>
      </w:pPr>
      <w:r>
        <w:rPr>
          <w:rFonts w:ascii="Times New Roman" w:hAnsi="Times New Roman" w:cs="Times New Roman"/>
          <w:sz w:val="36"/>
          <w:szCs w:val="36"/>
        </w:rPr>
        <w:t>Technical Architecture &amp; stacks</w:t>
      </w:r>
    </w:p>
    <w:p w:rsidR="00C5102B" w:rsidRDefault="00C5102B" w:rsidP="00C5102B">
      <w:pPr>
        <w:jc w:val="center"/>
        <w:rPr>
          <w:rFonts w:ascii="Times New Roman" w:hAnsi="Times New Roman" w:cs="Times New Roman"/>
          <w:sz w:val="36"/>
          <w:szCs w:val="36"/>
        </w:rPr>
      </w:pPr>
      <w:r>
        <w:rPr>
          <w:rFonts w:ascii="Times New Roman" w:hAnsi="Times New Roman" w:cs="Times New Roman"/>
          <w:sz w:val="36"/>
          <w:szCs w:val="36"/>
        </w:rPr>
        <w:t>Open source Framework</w:t>
      </w:r>
    </w:p>
    <w:tbl>
      <w:tblPr>
        <w:tblStyle w:val="TableGrid"/>
        <w:tblW w:w="0" w:type="auto"/>
        <w:tblLook w:val="04A0"/>
      </w:tblPr>
      <w:tblGrid>
        <w:gridCol w:w="4788"/>
        <w:gridCol w:w="4788"/>
      </w:tblGrid>
      <w:tr w:rsidR="00C5102B" w:rsidTr="00C5102B">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Date</w:t>
            </w:r>
          </w:p>
        </w:tc>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19 September2022</w:t>
            </w:r>
          </w:p>
        </w:tc>
      </w:tr>
      <w:tr w:rsidR="00C5102B" w:rsidTr="00C5102B">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Team ID</w:t>
            </w:r>
          </w:p>
        </w:tc>
        <w:tc>
          <w:tcPr>
            <w:tcW w:w="4788" w:type="dxa"/>
          </w:tcPr>
          <w:p w:rsidR="00C5102B" w:rsidRDefault="008B3310" w:rsidP="00C5102B">
            <w:pPr>
              <w:rPr>
                <w:rFonts w:ascii="Times New Roman" w:hAnsi="Times New Roman" w:cs="Times New Roman"/>
                <w:sz w:val="24"/>
                <w:szCs w:val="24"/>
              </w:rPr>
            </w:pPr>
            <w:r w:rsidRPr="008D6DF7">
              <w:rPr>
                <w:rFonts w:ascii="Times New Roman" w:hAnsi="Times New Roman" w:cs="Times New Roman"/>
                <w:color w:val="222222"/>
                <w:sz w:val="24"/>
                <w:szCs w:val="24"/>
                <w:shd w:val="clear" w:color="auto" w:fill="FFFFFF"/>
              </w:rPr>
              <w:t>PNT2022TMID43270</w:t>
            </w:r>
          </w:p>
        </w:tc>
      </w:tr>
      <w:tr w:rsidR="00C5102B" w:rsidTr="00C5102B">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Project Name</w:t>
            </w:r>
          </w:p>
        </w:tc>
        <w:tc>
          <w:tcPr>
            <w:tcW w:w="4788" w:type="dxa"/>
          </w:tcPr>
          <w:p w:rsidR="00C5102B" w:rsidRDefault="008B3310" w:rsidP="00C5102B">
            <w:pPr>
              <w:rPr>
                <w:rFonts w:ascii="Times New Roman" w:hAnsi="Times New Roman" w:cs="Times New Roman"/>
                <w:sz w:val="24"/>
                <w:szCs w:val="24"/>
              </w:rPr>
            </w:pPr>
            <w:r>
              <w:rPr>
                <w:rFonts w:ascii="Times New Roman" w:hAnsi="Times New Roman" w:cs="Times New Roman"/>
                <w:sz w:val="28"/>
                <w:szCs w:val="28"/>
              </w:rPr>
              <w:t>Signs with smart connectivity for better road safety</w:t>
            </w:r>
          </w:p>
        </w:tc>
      </w:tr>
      <w:tr w:rsidR="00C5102B" w:rsidTr="00C5102B">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Maximum Mark</w:t>
            </w:r>
          </w:p>
        </w:tc>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2 Marks</w:t>
            </w:r>
          </w:p>
        </w:tc>
      </w:tr>
    </w:tbl>
    <w:p w:rsidR="00C5102B" w:rsidRDefault="00C5102B" w:rsidP="00C5102B">
      <w:pPr>
        <w:rPr>
          <w:rFonts w:ascii="Times New Roman" w:hAnsi="Times New Roman" w:cs="Times New Roman"/>
          <w:sz w:val="24"/>
          <w:szCs w:val="24"/>
        </w:rPr>
      </w:pPr>
    </w:p>
    <w:p w:rsidR="004C07F9" w:rsidRPr="008B3310" w:rsidRDefault="004C07F9" w:rsidP="004C07F9">
      <w:pPr>
        <w:numPr>
          <w:ilvl w:val="0"/>
          <w:numId w:val="1"/>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Physical/device layer.</w:t>
      </w:r>
      <w:r w:rsidRPr="008B3310">
        <w:rPr>
          <w:rFonts w:ascii="Times New Roman" w:eastAsia="Times New Roman" w:hAnsi="Times New Roman" w:cs="Times New Roman"/>
          <w:color w:val="000000" w:themeColor="text1"/>
          <w:sz w:val="28"/>
          <w:szCs w:val="28"/>
        </w:rPr>
        <w:t> This comprises the sensors, actuators and other smart devices and connected devices that comprise the physical layer and device layer. These smart devices either capture data (sensors), take action (actuators) or sometimes both.</w:t>
      </w:r>
    </w:p>
    <w:p w:rsidR="004C07F9" w:rsidRPr="008B3310" w:rsidRDefault="004C07F9" w:rsidP="004C07F9">
      <w:pPr>
        <w:numPr>
          <w:ilvl w:val="0"/>
          <w:numId w:val="1"/>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Network layer.</w:t>
      </w:r>
      <w:r w:rsidRPr="008B3310">
        <w:rPr>
          <w:rFonts w:ascii="Times New Roman" w:eastAsia="Times New Roman" w:hAnsi="Times New Roman" w:cs="Times New Roman"/>
          <w:color w:val="000000" w:themeColor="text1"/>
          <w:sz w:val="28"/>
          <w:szCs w:val="28"/>
        </w:rPr>
        <w:t> This comprises the network devices and </w:t>
      </w:r>
      <w:hyperlink r:id="rId7" w:history="1">
        <w:r w:rsidRPr="008B3310">
          <w:rPr>
            <w:rFonts w:ascii="Times New Roman" w:eastAsia="Times New Roman" w:hAnsi="Times New Roman" w:cs="Times New Roman"/>
            <w:color w:val="000000" w:themeColor="text1"/>
            <w:sz w:val="28"/>
            <w:u w:val="single"/>
          </w:rPr>
          <w:t>communications types and protocols</w:t>
        </w:r>
      </w:hyperlink>
      <w:r w:rsidRPr="008B3310">
        <w:rPr>
          <w:rFonts w:ascii="Times New Roman" w:eastAsia="Times New Roman" w:hAnsi="Times New Roman" w:cs="Times New Roman"/>
          <w:color w:val="000000" w:themeColor="text1"/>
          <w:sz w:val="28"/>
          <w:szCs w:val="28"/>
        </w:rPr>
        <w:t> (5G, Wi-Fi, Bluetooth, etc.). Although many IoT architectures rely on general-purpose network layers, there is an increasing trend to move to dedicated IoT-specific networks.</w:t>
      </w:r>
    </w:p>
    <w:p w:rsidR="004C07F9" w:rsidRPr="008B3310" w:rsidRDefault="004C07F9" w:rsidP="004C07F9">
      <w:pPr>
        <w:numPr>
          <w:ilvl w:val="0"/>
          <w:numId w:val="1"/>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Data/database layer.</w:t>
      </w:r>
      <w:r w:rsidRPr="008B3310">
        <w:rPr>
          <w:rFonts w:ascii="Times New Roman" w:eastAsia="Times New Roman" w:hAnsi="Times New Roman" w:cs="Times New Roman"/>
          <w:color w:val="000000" w:themeColor="text1"/>
          <w:sz w:val="28"/>
          <w:szCs w:val="28"/>
        </w:rPr>
        <w:t> This also includes the database platform layer. There are a range of databases used for IoT architectures, and many organizations spend a fair amount of time selecting and architecting the right IoT databases.</w:t>
      </w:r>
    </w:p>
    <w:p w:rsidR="004C07F9" w:rsidRPr="008B3310" w:rsidRDefault="004C07F9" w:rsidP="004C07F9">
      <w:pPr>
        <w:spacing w:before="360" w:after="360" w:line="401" w:lineRule="atLeast"/>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Together, the physical layer/device layer, network layer and data/database layers comprise the infrastructure component discussed above.</w:t>
      </w:r>
    </w:p>
    <w:p w:rsidR="004C07F9" w:rsidRPr="008B3310" w:rsidRDefault="004C07F9" w:rsidP="004C07F9">
      <w:pPr>
        <w:numPr>
          <w:ilvl w:val="0"/>
          <w:numId w:val="2"/>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Analytics/visualization layer.</w:t>
      </w:r>
      <w:r w:rsidRPr="008B3310">
        <w:rPr>
          <w:rFonts w:ascii="Times New Roman" w:eastAsia="Times New Roman" w:hAnsi="Times New Roman" w:cs="Times New Roman"/>
          <w:color w:val="000000" w:themeColor="text1"/>
          <w:sz w:val="28"/>
          <w:szCs w:val="28"/>
        </w:rPr>
        <w:t> This layer comprises the analytics layer, visualization layer and perception layer. In essence, this layer's focus is on analyzing the data provided by IoT and providing it to users and applications to make sense of.</w:t>
      </w:r>
    </w:p>
    <w:p w:rsidR="004C07F9" w:rsidRPr="008B3310" w:rsidRDefault="004C07F9" w:rsidP="004C07F9">
      <w:pPr>
        <w:numPr>
          <w:ilvl w:val="0"/>
          <w:numId w:val="2"/>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Application/integration layer.</w:t>
      </w:r>
      <w:r w:rsidRPr="008B3310">
        <w:rPr>
          <w:rFonts w:ascii="Times New Roman" w:eastAsia="Times New Roman" w:hAnsi="Times New Roman" w:cs="Times New Roman"/>
          <w:color w:val="000000" w:themeColor="text1"/>
          <w:sz w:val="28"/>
          <w:szCs w:val="28"/>
        </w:rPr>
        <w:t xml:space="preserve"> This is the layer of applications and platforms that integrate together to deliver the functionality from the IoT infrastructure to the business. In other words, the application layer, platform layer and </w:t>
      </w:r>
      <w:r w:rsidRPr="008B3310">
        <w:rPr>
          <w:rFonts w:ascii="Times New Roman" w:eastAsia="Times New Roman" w:hAnsi="Times New Roman" w:cs="Times New Roman"/>
          <w:color w:val="000000" w:themeColor="text1"/>
          <w:sz w:val="28"/>
          <w:szCs w:val="28"/>
        </w:rPr>
        <w:lastRenderedPageBreak/>
        <w:t>integration layer are what provide the business value from the IoT infrastructure. The processing layer and business layer are all part of the larger application/integration layer.</w:t>
      </w:r>
    </w:p>
    <w:p w:rsidR="004C07F9" w:rsidRPr="008B3310" w:rsidRDefault="004C07F9" w:rsidP="004C07F9">
      <w:pPr>
        <w:numPr>
          <w:ilvl w:val="0"/>
          <w:numId w:val="2"/>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Security and management layer.</w:t>
      </w:r>
      <w:r w:rsidRPr="008B3310">
        <w:rPr>
          <w:rFonts w:ascii="Times New Roman" w:eastAsia="Times New Roman" w:hAnsi="Times New Roman" w:cs="Times New Roman"/>
          <w:color w:val="000000" w:themeColor="text1"/>
          <w:sz w:val="28"/>
          <w:szCs w:val="28"/>
        </w:rPr>
        <w:t> As the name implies, this layer encompasses both the security layer and the management layer. Strictly speaking, this is not a </w:t>
      </w:r>
      <w:r w:rsidRPr="008B3310">
        <w:rPr>
          <w:rFonts w:ascii="Times New Roman" w:eastAsia="Times New Roman" w:hAnsi="Times New Roman" w:cs="Times New Roman"/>
          <w:i/>
          <w:iCs/>
          <w:color w:val="000000" w:themeColor="text1"/>
          <w:sz w:val="28"/>
        </w:rPr>
        <w:t>layer</w:t>
      </w:r>
      <w:r w:rsidRPr="008B3310">
        <w:rPr>
          <w:rFonts w:ascii="Times New Roman" w:eastAsia="Times New Roman" w:hAnsi="Times New Roman" w:cs="Times New Roman"/>
          <w:color w:val="000000" w:themeColor="text1"/>
          <w:sz w:val="28"/>
          <w:szCs w:val="28"/>
        </w:rPr>
        <w:t> as it has connections with all the other layers to provide security and management. But it's an important component that's worth considering at every layer.</w:t>
      </w:r>
    </w:p>
    <w:p w:rsidR="004C07F9" w:rsidRPr="008B3310" w:rsidRDefault="004C07F9" w:rsidP="004C07F9">
      <w:pPr>
        <w:spacing w:before="360" w:after="360" w:line="401" w:lineRule="atLeast"/>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These layers go from bottom to top in a fashion similar to the </w:t>
      </w:r>
      <w:hyperlink r:id="rId8" w:history="1">
        <w:r w:rsidRPr="008B3310">
          <w:rPr>
            <w:rFonts w:ascii="Times New Roman" w:eastAsia="Times New Roman" w:hAnsi="Times New Roman" w:cs="Times New Roman"/>
            <w:color w:val="000000" w:themeColor="text1"/>
            <w:sz w:val="28"/>
            <w:u w:val="single"/>
          </w:rPr>
          <w:t>Open Systems Interconnection</w:t>
        </w:r>
      </w:hyperlink>
      <w:r w:rsidRPr="008B3310">
        <w:rPr>
          <w:rFonts w:ascii="Times New Roman" w:eastAsia="Times New Roman" w:hAnsi="Times New Roman" w:cs="Times New Roman"/>
          <w:color w:val="000000" w:themeColor="text1"/>
          <w:sz w:val="28"/>
          <w:szCs w:val="28"/>
        </w:rPr>
        <w:t> model, which was the original source of the layering concept. (See Figure 3 below).</w:t>
      </w:r>
    </w:p>
    <w:p w:rsidR="004C07F9" w:rsidRPr="008B3310" w:rsidRDefault="004C07F9" w:rsidP="004C07F9">
      <w:pPr>
        <w:spacing w:after="0" w:line="180" w:lineRule="atLeast"/>
        <w:rPr>
          <w:rFonts w:ascii="Times New Roman" w:eastAsia="Times New Roman" w:hAnsi="Times New Roman" w:cs="Times New Roman"/>
          <w:color w:val="000000" w:themeColor="text1"/>
          <w:sz w:val="24"/>
          <w:szCs w:val="24"/>
        </w:rPr>
      </w:pPr>
      <w:r w:rsidRPr="008B3310">
        <w:rPr>
          <w:rFonts w:ascii="Times New Roman" w:eastAsia="Times New Roman" w:hAnsi="Times New Roman" w:cs="Times New Roman"/>
          <w:noProof/>
          <w:color w:val="000000" w:themeColor="text1"/>
          <w:sz w:val="24"/>
          <w:szCs w:val="24"/>
        </w:rPr>
        <w:drawing>
          <wp:inline distT="0" distB="0" distL="0" distR="0">
            <wp:extent cx="5330825" cy="2402840"/>
            <wp:effectExtent l="19050" t="0" r="3175" b="0"/>
            <wp:docPr id="4" name="Picture 4" descr="Io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T architecture model"/>
                    <pic:cNvPicPr>
                      <a:picLocks noChangeAspect="1" noChangeArrowheads="1"/>
                    </pic:cNvPicPr>
                  </pic:nvPicPr>
                  <pic:blipFill>
                    <a:blip r:embed="rId9"/>
                    <a:srcRect/>
                    <a:stretch>
                      <a:fillRect/>
                    </a:stretch>
                  </pic:blipFill>
                  <pic:spPr bwMode="auto">
                    <a:xfrm>
                      <a:off x="0" y="0"/>
                      <a:ext cx="5330825" cy="2402840"/>
                    </a:xfrm>
                    <a:prstGeom prst="rect">
                      <a:avLst/>
                    </a:prstGeom>
                    <a:noFill/>
                    <a:ln w="9525">
                      <a:noFill/>
                      <a:miter lim="800000"/>
                      <a:headEnd/>
                      <a:tailEnd/>
                    </a:ln>
                  </pic:spPr>
                </pic:pic>
              </a:graphicData>
            </a:graphic>
          </wp:inline>
        </w:drawing>
      </w:r>
    </w:p>
    <w:p w:rsidR="004C07F9" w:rsidRPr="008B3310" w:rsidRDefault="004C07F9" w:rsidP="004C07F9">
      <w:pPr>
        <w:spacing w:before="31" w:after="0" w:line="401" w:lineRule="atLeast"/>
        <w:rPr>
          <w:rFonts w:ascii="Arial" w:eastAsia="Times New Roman" w:hAnsi="Arial" w:cs="Arial"/>
          <w:caps/>
          <w:color w:val="000000" w:themeColor="text1"/>
          <w:sz w:val="12"/>
          <w:szCs w:val="12"/>
        </w:rPr>
      </w:pPr>
      <w:r w:rsidRPr="008B3310">
        <w:rPr>
          <w:rFonts w:ascii="Arial" w:eastAsia="Times New Roman" w:hAnsi="Arial" w:cs="Arial"/>
          <w:caps/>
          <w:color w:val="000000" w:themeColor="text1"/>
          <w:sz w:val="12"/>
          <w:szCs w:val="12"/>
        </w:rPr>
        <w:t>NEMERTES RESEARCH</w:t>
      </w:r>
    </w:p>
    <w:p w:rsidR="004C07F9" w:rsidRPr="008B3310" w:rsidRDefault="004C07F9" w:rsidP="004C07F9">
      <w:pPr>
        <w:tabs>
          <w:tab w:val="left" w:pos="8502"/>
        </w:tabs>
        <w:spacing w:after="0" w:line="240" w:lineRule="auto"/>
        <w:rPr>
          <w:rFonts w:ascii="Times New Roman" w:eastAsia="Times New Roman" w:hAnsi="Times New Roman" w:cs="Times New Roman"/>
          <w:b/>
          <w:color w:val="000000" w:themeColor="text1"/>
          <w:sz w:val="28"/>
          <w:szCs w:val="28"/>
        </w:rPr>
      </w:pPr>
      <w:r w:rsidRPr="008B3310">
        <w:rPr>
          <w:rFonts w:ascii="Times New Roman" w:eastAsia="Times New Roman" w:hAnsi="Times New Roman" w:cs="Times New Roman"/>
          <w:b/>
          <w:color w:val="000000" w:themeColor="text1"/>
          <w:sz w:val="28"/>
          <w:szCs w:val="28"/>
        </w:rPr>
        <w:t>Figure 3: An overview of the IoT architecture model</w:t>
      </w:r>
      <w:r w:rsidRPr="008B3310">
        <w:rPr>
          <w:rFonts w:ascii="Times New Roman" w:eastAsia="Times New Roman" w:hAnsi="Times New Roman" w:cs="Times New Roman"/>
          <w:b/>
          <w:color w:val="000000" w:themeColor="text1"/>
          <w:sz w:val="28"/>
          <w:szCs w:val="28"/>
        </w:rPr>
        <w:tab/>
      </w:r>
    </w:p>
    <w:p w:rsidR="004C07F9" w:rsidRPr="008B3310" w:rsidRDefault="004C07F9" w:rsidP="004C07F9">
      <w:pPr>
        <w:spacing w:after="0" w:line="240" w:lineRule="auto"/>
        <w:rPr>
          <w:rFonts w:ascii="Times New Roman" w:eastAsia="Times New Roman" w:hAnsi="Times New Roman" w:cs="Times New Roman"/>
          <w:b/>
          <w:color w:val="000000" w:themeColor="text1"/>
          <w:sz w:val="28"/>
          <w:szCs w:val="28"/>
        </w:rPr>
      </w:pPr>
    </w:p>
    <w:p w:rsidR="004C07F9" w:rsidRPr="008B3310" w:rsidRDefault="004C07F9" w:rsidP="004C07F9">
      <w:pPr>
        <w:spacing w:after="153" w:line="290" w:lineRule="atLeast"/>
        <w:outlineLvl w:val="2"/>
        <w:rPr>
          <w:rFonts w:ascii="Arial" w:eastAsia="Times New Roman" w:hAnsi="Arial" w:cs="Arial"/>
          <w:b/>
          <w:bCs/>
          <w:color w:val="000000" w:themeColor="text1"/>
          <w:sz w:val="31"/>
          <w:szCs w:val="31"/>
        </w:rPr>
      </w:pPr>
      <w:r w:rsidRPr="008B3310">
        <w:rPr>
          <w:rFonts w:ascii="Arial" w:eastAsia="Times New Roman" w:hAnsi="Arial" w:cs="Arial"/>
          <w:b/>
          <w:bCs/>
          <w:color w:val="000000" w:themeColor="text1"/>
          <w:sz w:val="31"/>
          <w:szCs w:val="31"/>
        </w:rPr>
        <w:t>Conclusion and recommendations</w:t>
      </w:r>
    </w:p>
    <w:p w:rsidR="004C07F9" w:rsidRPr="008B3310" w:rsidRDefault="00A13C56" w:rsidP="005F4584">
      <w:pPr>
        <w:spacing w:after="360" w:line="401" w:lineRule="atLeast"/>
        <w:rPr>
          <w:rFonts w:ascii="Times New Roman" w:eastAsia="Times New Roman" w:hAnsi="Times New Roman" w:cs="Times New Roman"/>
          <w:color w:val="000000" w:themeColor="text1"/>
          <w:sz w:val="28"/>
          <w:szCs w:val="28"/>
        </w:rPr>
      </w:pPr>
      <w:hyperlink r:id="rId10" w:history="1">
        <w:r w:rsidR="004C07F9" w:rsidRPr="008B3310">
          <w:rPr>
            <w:rFonts w:ascii="Times New Roman" w:eastAsia="Times New Roman" w:hAnsi="Times New Roman" w:cs="Times New Roman"/>
            <w:color w:val="000000" w:themeColor="text1"/>
            <w:sz w:val="28"/>
            <w:u w:val="single"/>
          </w:rPr>
          <w:t>Enterprise IT, OT and IoT technology</w:t>
        </w:r>
      </w:hyperlink>
      <w:r w:rsidR="004C07F9" w:rsidRPr="008B3310">
        <w:rPr>
          <w:rFonts w:ascii="Times New Roman" w:eastAsia="Times New Roman" w:hAnsi="Times New Roman" w:cs="Times New Roman"/>
          <w:color w:val="000000" w:themeColor="text1"/>
          <w:sz w:val="28"/>
          <w:szCs w:val="28"/>
        </w:rPr>
        <w:t xml:space="preserve"> professionals should develop IoT projects and initiatives based on a consistent architecture. That doesn't mean using the exact same tools and technologies for every project, but rather making sure every component is properly instantiated for the specific project, and that technology professionals have thought about all the layers, including the network layer, </w:t>
      </w:r>
      <w:r w:rsidR="004C07F9" w:rsidRPr="008B3310">
        <w:rPr>
          <w:rFonts w:ascii="Times New Roman" w:eastAsia="Times New Roman" w:hAnsi="Times New Roman" w:cs="Times New Roman"/>
          <w:color w:val="000000" w:themeColor="text1"/>
          <w:sz w:val="28"/>
          <w:szCs w:val="28"/>
        </w:rPr>
        <w:lastRenderedPageBreak/>
        <w:t>perception layer, processing layer, physical layer, gateway layer, platform layer, device layer, business layer, security layer and sensor layer.</w:t>
      </w:r>
    </w:p>
    <w:p w:rsidR="004C07F9" w:rsidRPr="008B3310" w:rsidRDefault="004C07F9" w:rsidP="00C5102B">
      <w:pPr>
        <w:rPr>
          <w:rFonts w:ascii="Times New Roman" w:hAnsi="Times New Roman" w:cs="Times New Roman"/>
          <w:color w:val="000000" w:themeColor="text1"/>
          <w:sz w:val="24"/>
          <w:szCs w:val="24"/>
        </w:rPr>
      </w:pPr>
    </w:p>
    <w:p w:rsidR="00C5102B" w:rsidRPr="008B3310" w:rsidRDefault="00C5102B" w:rsidP="00C5102B">
      <w:pPr>
        <w:rPr>
          <w:rFonts w:ascii="Times New Roman" w:hAnsi="Times New Roman" w:cs="Times New Roman"/>
          <w:color w:val="000000" w:themeColor="text1"/>
          <w:sz w:val="24"/>
          <w:szCs w:val="24"/>
        </w:rPr>
      </w:pPr>
      <w:r w:rsidRPr="008B3310">
        <w:rPr>
          <w:noProof/>
          <w:color w:val="000000" w:themeColor="text1"/>
        </w:rPr>
        <w:drawing>
          <wp:inline distT="0" distB="0" distL="0" distR="0">
            <wp:extent cx="5943600" cy="2461229"/>
            <wp:effectExtent l="19050" t="0" r="0" b="0"/>
            <wp:docPr id="1" name="Picture 1" descr="Fig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1"/>
                    <pic:cNvPicPr>
                      <a:picLocks noChangeAspect="1" noChangeArrowheads="1"/>
                    </pic:cNvPicPr>
                  </pic:nvPicPr>
                  <pic:blipFill>
                    <a:blip r:embed="rId11"/>
                    <a:srcRect/>
                    <a:stretch>
                      <a:fillRect/>
                    </a:stretch>
                  </pic:blipFill>
                  <pic:spPr bwMode="auto">
                    <a:xfrm>
                      <a:off x="0" y="0"/>
                      <a:ext cx="5943600" cy="2461229"/>
                    </a:xfrm>
                    <a:prstGeom prst="rect">
                      <a:avLst/>
                    </a:prstGeom>
                    <a:noFill/>
                    <a:ln w="9525">
                      <a:noFill/>
                      <a:miter lim="800000"/>
                      <a:headEnd/>
                      <a:tailEnd/>
                    </a:ln>
                  </pic:spPr>
                </pic:pic>
              </a:graphicData>
            </a:graphic>
          </wp:inline>
        </w:drawing>
      </w:r>
    </w:p>
    <w:p w:rsidR="004C07F9" w:rsidRPr="008B3310" w:rsidRDefault="004C07F9" w:rsidP="00C5102B">
      <w:pPr>
        <w:rPr>
          <w:rFonts w:ascii="Times New Roman" w:hAnsi="Times New Roman" w:cs="Times New Roman"/>
          <w:color w:val="000000" w:themeColor="text1"/>
          <w:sz w:val="24"/>
          <w:szCs w:val="24"/>
        </w:rPr>
      </w:pPr>
    </w:p>
    <w:p w:rsidR="004C07F9" w:rsidRPr="008B3310" w:rsidRDefault="004C07F9" w:rsidP="004C07F9">
      <w:pPr>
        <w:spacing w:after="153" w:line="290" w:lineRule="atLeast"/>
        <w:outlineLvl w:val="2"/>
        <w:rPr>
          <w:rFonts w:ascii="Arial" w:eastAsia="Times New Roman" w:hAnsi="Arial" w:cs="Arial"/>
          <w:b/>
          <w:bCs/>
          <w:color w:val="000000" w:themeColor="text1"/>
          <w:sz w:val="31"/>
          <w:szCs w:val="31"/>
        </w:rPr>
      </w:pPr>
      <w:r w:rsidRPr="008B3310">
        <w:rPr>
          <w:rFonts w:ascii="Arial" w:eastAsia="Times New Roman" w:hAnsi="Arial" w:cs="Arial"/>
          <w:b/>
          <w:bCs/>
          <w:color w:val="000000" w:themeColor="text1"/>
          <w:sz w:val="31"/>
          <w:szCs w:val="31"/>
        </w:rPr>
        <w:t>the components of an IoT architecture</w:t>
      </w:r>
    </w:p>
    <w:p w:rsidR="004C07F9" w:rsidRPr="008B3310" w:rsidRDefault="004C07F9" w:rsidP="004C07F9">
      <w:pPr>
        <w:spacing w:after="360" w:line="401" w:lineRule="atLeast"/>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At a high level, the components involved in an IoT architecture include four key components. (See Figure 1 below).</w:t>
      </w:r>
    </w:p>
    <w:p w:rsidR="004C07F9" w:rsidRPr="008B3310" w:rsidRDefault="004C07F9" w:rsidP="004C07F9">
      <w:pPr>
        <w:numPr>
          <w:ilvl w:val="0"/>
          <w:numId w:val="3"/>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 </w:t>
      </w:r>
      <w:r w:rsidRPr="008B3310">
        <w:rPr>
          <w:rFonts w:ascii="Times New Roman" w:eastAsia="Times New Roman" w:hAnsi="Times New Roman" w:cs="Times New Roman"/>
          <w:b/>
          <w:bCs/>
          <w:color w:val="000000" w:themeColor="text1"/>
          <w:sz w:val="28"/>
        </w:rPr>
        <w:t>applications and analytics component.</w:t>
      </w:r>
      <w:r w:rsidRPr="008B3310">
        <w:rPr>
          <w:rFonts w:ascii="Times New Roman" w:eastAsia="Times New Roman" w:hAnsi="Times New Roman" w:cs="Times New Roman"/>
          <w:color w:val="000000" w:themeColor="text1"/>
          <w:sz w:val="28"/>
          <w:szCs w:val="28"/>
        </w:rPr>
        <w:t> This is the piece that processes and displays information collected via IoT. It includes analytics tools, AI and machine learning and </w:t>
      </w:r>
      <w:hyperlink r:id="rId12" w:history="1">
        <w:r w:rsidRPr="008B3310">
          <w:rPr>
            <w:rFonts w:ascii="Times New Roman" w:eastAsia="Times New Roman" w:hAnsi="Times New Roman" w:cs="Times New Roman"/>
            <w:color w:val="000000" w:themeColor="text1"/>
            <w:sz w:val="28"/>
            <w:u w:val="single"/>
          </w:rPr>
          <w:t>visualization capabilities</w:t>
        </w:r>
      </w:hyperlink>
      <w:r w:rsidRPr="008B3310">
        <w:rPr>
          <w:rFonts w:ascii="Times New Roman" w:eastAsia="Times New Roman" w:hAnsi="Times New Roman" w:cs="Times New Roman"/>
          <w:color w:val="000000" w:themeColor="text1"/>
          <w:sz w:val="28"/>
          <w:szCs w:val="28"/>
        </w:rPr>
        <w:t>. Technologies for this component range from traditional analytics and visualization packages, such as R, IBM SPSS and SAS, to specialized IoT tools and dashboards from cloud providers, such as Amazon, Google, Microsoft, Oracle and IBM, as well as application suite vendors, including SAP and Salesforce.</w:t>
      </w:r>
    </w:p>
    <w:p w:rsidR="004C07F9" w:rsidRPr="008B3310" w:rsidRDefault="004C07F9" w:rsidP="004C07F9">
      <w:pPr>
        <w:numPr>
          <w:ilvl w:val="0"/>
          <w:numId w:val="3"/>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 </w:t>
      </w:r>
      <w:r w:rsidRPr="008B3310">
        <w:rPr>
          <w:rFonts w:ascii="Times New Roman" w:eastAsia="Times New Roman" w:hAnsi="Times New Roman" w:cs="Times New Roman"/>
          <w:b/>
          <w:bCs/>
          <w:color w:val="000000" w:themeColor="text1"/>
          <w:sz w:val="28"/>
        </w:rPr>
        <w:t>integration component. </w:t>
      </w:r>
      <w:r w:rsidRPr="008B3310">
        <w:rPr>
          <w:rFonts w:ascii="Times New Roman" w:eastAsia="Times New Roman" w:hAnsi="Times New Roman" w:cs="Times New Roman"/>
          <w:color w:val="000000" w:themeColor="text1"/>
          <w:sz w:val="28"/>
          <w:szCs w:val="28"/>
        </w:rPr>
        <w:t xml:space="preserve">This is the component that ensures that the applications, tools, security and infrastructure integrate effectively with existing companywide ERP and other management systems. Providers include the aforementioned software and cloud players, as well as a range of open source </w:t>
      </w:r>
      <w:r w:rsidRPr="008B3310">
        <w:rPr>
          <w:rFonts w:ascii="Times New Roman" w:eastAsia="Times New Roman" w:hAnsi="Times New Roman" w:cs="Times New Roman"/>
          <w:color w:val="000000" w:themeColor="text1"/>
          <w:sz w:val="28"/>
          <w:szCs w:val="28"/>
        </w:rPr>
        <w:lastRenderedPageBreak/>
        <w:t>and middleware providers, such as Oracle Fusion Middleware, LinkSmart, Apache Kafka and DynThings Open Source IoT Platform.</w:t>
      </w:r>
    </w:p>
    <w:p w:rsidR="004C07F9" w:rsidRPr="008B3310" w:rsidRDefault="004C07F9" w:rsidP="004C07F9">
      <w:pPr>
        <w:numPr>
          <w:ilvl w:val="0"/>
          <w:numId w:val="3"/>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 </w:t>
      </w:r>
      <w:r w:rsidRPr="008B3310">
        <w:rPr>
          <w:rFonts w:ascii="Times New Roman" w:eastAsia="Times New Roman" w:hAnsi="Times New Roman" w:cs="Times New Roman"/>
          <w:b/>
          <w:bCs/>
          <w:color w:val="000000" w:themeColor="text1"/>
          <w:sz w:val="28"/>
        </w:rPr>
        <w:t>security and management component.</w:t>
      </w:r>
      <w:r w:rsidRPr="008B3310">
        <w:rPr>
          <w:rFonts w:ascii="Times New Roman" w:eastAsia="Times New Roman" w:hAnsi="Times New Roman" w:cs="Times New Roman"/>
          <w:color w:val="000000" w:themeColor="text1"/>
          <w:sz w:val="28"/>
          <w:szCs w:val="28"/>
        </w:rPr>
        <w:t> IoT security includes </w:t>
      </w:r>
      <w:hyperlink r:id="rId13" w:history="1">
        <w:r w:rsidRPr="008B3310">
          <w:rPr>
            <w:rFonts w:ascii="Times New Roman" w:eastAsia="Times New Roman" w:hAnsi="Times New Roman" w:cs="Times New Roman"/>
            <w:color w:val="000000" w:themeColor="text1"/>
            <w:sz w:val="28"/>
            <w:u w:val="single"/>
          </w:rPr>
          <w:t>securing the physical components</w:t>
        </w:r>
      </w:hyperlink>
      <w:r w:rsidRPr="008B3310">
        <w:rPr>
          <w:rFonts w:ascii="Times New Roman" w:eastAsia="Times New Roman" w:hAnsi="Times New Roman" w:cs="Times New Roman"/>
          <w:color w:val="000000" w:themeColor="text1"/>
          <w:sz w:val="28"/>
          <w:szCs w:val="28"/>
        </w:rPr>
        <w:t> of the system via firmware and embedded security providers, such as Azure Sphere, LynxOS, Mocana and Spartan. Traditional security vendors, such as Forescout, Symantec and Trend Micro, also offer packages that focus specifically on securing IoT.</w:t>
      </w:r>
    </w:p>
    <w:p w:rsidR="004C07F9" w:rsidRPr="008B3310" w:rsidRDefault="004C07F9" w:rsidP="004C07F9">
      <w:pPr>
        <w:numPr>
          <w:ilvl w:val="0"/>
          <w:numId w:val="3"/>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 </w:t>
      </w:r>
      <w:r w:rsidRPr="008B3310">
        <w:rPr>
          <w:rFonts w:ascii="Times New Roman" w:eastAsia="Times New Roman" w:hAnsi="Times New Roman" w:cs="Times New Roman"/>
          <w:b/>
          <w:bCs/>
          <w:color w:val="000000" w:themeColor="text1"/>
          <w:sz w:val="28"/>
        </w:rPr>
        <w:t>infrastructure component.</w:t>
      </w:r>
      <w:r w:rsidRPr="008B3310">
        <w:rPr>
          <w:rFonts w:ascii="Times New Roman" w:eastAsia="Times New Roman" w:hAnsi="Times New Roman" w:cs="Times New Roman"/>
          <w:color w:val="000000" w:themeColor="text1"/>
          <w:sz w:val="28"/>
          <w:szCs w:val="28"/>
        </w:rPr>
        <w:t> This includes physical devices -- IoT sensors, which capture information, and actuators, which control the environment. It also includes the network on which the sensors or actuators reside. Typically, though not always, this is a wireless network, such as Wi-Fi, 4G or 5G.</w:t>
      </w:r>
    </w:p>
    <w:p w:rsidR="004C07F9" w:rsidRPr="008B3310" w:rsidRDefault="004C07F9" w:rsidP="004C07F9">
      <w:pPr>
        <w:rPr>
          <w:rFonts w:ascii="Times New Roman" w:hAnsi="Times New Roman" w:cs="Times New Roman"/>
          <w:color w:val="000000" w:themeColor="text1"/>
          <w:sz w:val="24"/>
          <w:szCs w:val="24"/>
        </w:rPr>
      </w:pPr>
      <w:r w:rsidRPr="008B3310">
        <w:rPr>
          <w:rFonts w:ascii="Times New Roman" w:eastAsia="Times New Roman" w:hAnsi="Times New Roman" w:cs="Times New Roman"/>
          <w:noProof/>
          <w:color w:val="000000" w:themeColor="text1"/>
          <w:sz w:val="24"/>
          <w:szCs w:val="24"/>
        </w:rPr>
        <w:drawing>
          <wp:inline distT="0" distB="0" distL="0" distR="0">
            <wp:extent cx="5321300" cy="3278505"/>
            <wp:effectExtent l="19050" t="0" r="0" b="0"/>
            <wp:docPr id="6" name="Picture 6" descr="IoT archite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T architecture components"/>
                    <pic:cNvPicPr>
                      <a:picLocks noChangeAspect="1" noChangeArrowheads="1"/>
                    </pic:cNvPicPr>
                  </pic:nvPicPr>
                  <pic:blipFill>
                    <a:blip r:embed="rId14"/>
                    <a:srcRect/>
                    <a:stretch>
                      <a:fillRect/>
                    </a:stretch>
                  </pic:blipFill>
                  <pic:spPr bwMode="auto">
                    <a:xfrm>
                      <a:off x="0" y="0"/>
                      <a:ext cx="5321300" cy="3278505"/>
                    </a:xfrm>
                    <a:prstGeom prst="rect">
                      <a:avLst/>
                    </a:prstGeom>
                    <a:noFill/>
                    <a:ln w="9525">
                      <a:noFill/>
                      <a:miter lim="800000"/>
                      <a:headEnd/>
                      <a:tailEnd/>
                    </a:ln>
                  </pic:spPr>
                </pic:pic>
              </a:graphicData>
            </a:graphic>
          </wp:inline>
        </w:drawing>
      </w:r>
    </w:p>
    <w:sectPr w:rsidR="004C07F9" w:rsidRPr="008B3310" w:rsidSect="00464F0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EC7" w:rsidRDefault="00824EC7" w:rsidP="00883B8D">
      <w:pPr>
        <w:spacing w:after="0" w:line="240" w:lineRule="auto"/>
      </w:pPr>
      <w:r>
        <w:separator/>
      </w:r>
    </w:p>
  </w:endnote>
  <w:endnote w:type="continuationSeparator" w:id="1">
    <w:p w:rsidR="00824EC7" w:rsidRDefault="00824EC7" w:rsidP="00883B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EC7" w:rsidRDefault="00824EC7" w:rsidP="00883B8D">
      <w:pPr>
        <w:spacing w:after="0" w:line="240" w:lineRule="auto"/>
      </w:pPr>
      <w:r>
        <w:separator/>
      </w:r>
    </w:p>
  </w:footnote>
  <w:footnote w:type="continuationSeparator" w:id="1">
    <w:p w:rsidR="00824EC7" w:rsidRDefault="00824EC7" w:rsidP="00883B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171F4"/>
    <w:multiLevelType w:val="multilevel"/>
    <w:tmpl w:val="C0700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A05541"/>
    <w:multiLevelType w:val="multilevel"/>
    <w:tmpl w:val="E2FE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3466E2"/>
    <w:multiLevelType w:val="multilevel"/>
    <w:tmpl w:val="686C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C5102B"/>
    <w:rsid w:val="000568B8"/>
    <w:rsid w:val="00464F02"/>
    <w:rsid w:val="004C07F9"/>
    <w:rsid w:val="0053614C"/>
    <w:rsid w:val="005F4584"/>
    <w:rsid w:val="00824EC7"/>
    <w:rsid w:val="00883B8D"/>
    <w:rsid w:val="008B3310"/>
    <w:rsid w:val="00A13C56"/>
    <w:rsid w:val="00C51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F02"/>
  </w:style>
  <w:style w:type="paragraph" w:styleId="Heading3">
    <w:name w:val="heading 3"/>
    <w:basedOn w:val="Normal"/>
    <w:link w:val="Heading3Char"/>
    <w:uiPriority w:val="9"/>
    <w:qFormat/>
    <w:rsid w:val="004C07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07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10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1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02B"/>
    <w:rPr>
      <w:rFonts w:ascii="Tahoma" w:hAnsi="Tahoma" w:cs="Tahoma"/>
      <w:sz w:val="16"/>
      <w:szCs w:val="16"/>
    </w:rPr>
  </w:style>
  <w:style w:type="character" w:customStyle="1" w:styleId="Heading3Char">
    <w:name w:val="Heading 3 Char"/>
    <w:basedOn w:val="DefaultParagraphFont"/>
    <w:link w:val="Heading3"/>
    <w:uiPriority w:val="9"/>
    <w:rsid w:val="004C07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07F9"/>
    <w:rPr>
      <w:rFonts w:ascii="Times New Roman" w:eastAsia="Times New Roman" w:hAnsi="Times New Roman" w:cs="Times New Roman"/>
      <w:b/>
      <w:bCs/>
      <w:sz w:val="24"/>
      <w:szCs w:val="24"/>
    </w:rPr>
  </w:style>
  <w:style w:type="character" w:styleId="Strong">
    <w:name w:val="Strong"/>
    <w:basedOn w:val="DefaultParagraphFont"/>
    <w:uiPriority w:val="22"/>
    <w:qFormat/>
    <w:rsid w:val="004C07F9"/>
    <w:rPr>
      <w:b/>
      <w:bCs/>
    </w:rPr>
  </w:style>
  <w:style w:type="character" w:styleId="Hyperlink">
    <w:name w:val="Hyperlink"/>
    <w:basedOn w:val="DefaultParagraphFont"/>
    <w:uiPriority w:val="99"/>
    <w:semiHidden/>
    <w:unhideWhenUsed/>
    <w:rsid w:val="004C07F9"/>
    <w:rPr>
      <w:color w:val="0000FF"/>
      <w:u w:val="single"/>
    </w:rPr>
  </w:style>
  <w:style w:type="paragraph" w:styleId="NormalWeb">
    <w:name w:val="Normal (Web)"/>
    <w:basedOn w:val="Normal"/>
    <w:uiPriority w:val="99"/>
    <w:semiHidden/>
    <w:unhideWhenUsed/>
    <w:rsid w:val="004C07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07F9"/>
    <w:rPr>
      <w:i/>
      <w:iCs/>
    </w:rPr>
  </w:style>
  <w:style w:type="paragraph" w:styleId="Header">
    <w:name w:val="header"/>
    <w:basedOn w:val="Normal"/>
    <w:link w:val="HeaderChar"/>
    <w:uiPriority w:val="99"/>
    <w:semiHidden/>
    <w:unhideWhenUsed/>
    <w:rsid w:val="00883B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B8D"/>
  </w:style>
  <w:style w:type="paragraph" w:styleId="Footer">
    <w:name w:val="footer"/>
    <w:basedOn w:val="Normal"/>
    <w:link w:val="FooterChar"/>
    <w:uiPriority w:val="99"/>
    <w:semiHidden/>
    <w:unhideWhenUsed/>
    <w:rsid w:val="00883B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B8D"/>
  </w:style>
</w:styles>
</file>

<file path=word/webSettings.xml><?xml version="1.0" encoding="utf-8"?>
<w:webSettings xmlns:r="http://schemas.openxmlformats.org/officeDocument/2006/relationships" xmlns:w="http://schemas.openxmlformats.org/wordprocessingml/2006/main">
  <w:divs>
    <w:div w:id="558437260">
      <w:bodyDiv w:val="1"/>
      <w:marLeft w:val="0"/>
      <w:marRight w:val="0"/>
      <w:marTop w:val="0"/>
      <w:marBottom w:val="0"/>
      <w:divBdr>
        <w:top w:val="none" w:sz="0" w:space="0" w:color="auto"/>
        <w:left w:val="none" w:sz="0" w:space="0" w:color="auto"/>
        <w:bottom w:val="none" w:sz="0" w:space="0" w:color="auto"/>
        <w:right w:val="none" w:sz="0" w:space="0" w:color="auto"/>
      </w:divBdr>
      <w:divsChild>
        <w:div w:id="933392312">
          <w:marLeft w:val="0"/>
          <w:marRight w:val="0"/>
          <w:marTop w:val="230"/>
          <w:marBottom w:val="0"/>
          <w:divBdr>
            <w:top w:val="none" w:sz="0" w:space="0" w:color="auto"/>
            <w:left w:val="none" w:sz="0" w:space="0" w:color="auto"/>
            <w:bottom w:val="none" w:sz="0" w:space="0" w:color="auto"/>
            <w:right w:val="none" w:sz="0" w:space="0" w:color="auto"/>
          </w:divBdr>
        </w:div>
      </w:divsChild>
    </w:div>
    <w:div w:id="7285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OSI" TargetMode="External"/><Relationship Id="rId13" Type="http://schemas.openxmlformats.org/officeDocument/2006/relationships/hyperlink" Target="https://internetofthingsagenda.techtarget.com/tip/Best-practices-to-overcome-an-IoT-security-challeng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nternetofthingsagenda.techtarget.com/tip/Top-12-most-commonly-used-IoT-protocols-and-standards" TargetMode="External"/><Relationship Id="rId12" Type="http://schemas.openxmlformats.org/officeDocument/2006/relationships/hyperlink" Target="https://internetofthingsagenda.techtarget.com/blog/IoT-Agenda/Five-key-factors-for-building-killer-IoT-visualizations-and-repor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nternetofthingsagenda.techtarget.com/tip/5-ways-to-facilitate-the-convergence-of-IT-and-OT-in-Io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ece</cp:lastModifiedBy>
  <cp:revision>5</cp:revision>
  <dcterms:created xsi:type="dcterms:W3CDTF">2022-11-10T09:50:00Z</dcterms:created>
  <dcterms:modified xsi:type="dcterms:W3CDTF">2022-11-10T10:56:00Z</dcterms:modified>
</cp:coreProperties>
</file>