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left="2972" w:right="3132"/>
        <w:jc w:val="center"/>
        <w:rPr>
          <w:u w:val="none"/>
        </w:rPr>
      </w:pPr>
      <w:r>
        <w:rPr>
          <w:u w:val="thick"/>
        </w:rPr>
        <w:t>Project Design Phase-II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7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3"/>
        <w:gridCol w:w="4515"/>
      </w:tblGrid>
      <w:tr>
        <w:trPr>
          <w:trHeight w:val="397" w:hRule="atLeast"/>
        </w:trPr>
        <w:tc>
          <w:tcPr>
            <w:tcW w:w="4513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5" w:type="dxa"/>
          </w:tcPr>
          <w:p>
            <w:pPr>
              <w:pStyle w:val="TableParagraph"/>
              <w:spacing w:line="367" w:lineRule="exact"/>
              <w:ind w:left="1202"/>
              <w:rPr>
                <w:sz w:val="32"/>
              </w:rPr>
            </w:pPr>
            <w:r>
              <w:rPr>
                <w:sz w:val="32"/>
              </w:rPr>
              <w:t>15 October 2022</w:t>
            </w:r>
          </w:p>
        </w:tc>
      </w:tr>
      <w:tr>
        <w:trPr>
          <w:trHeight w:val="424" w:hRule="atLeast"/>
        </w:trPr>
        <w:tc>
          <w:tcPr>
            <w:tcW w:w="451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spacing w:line="240" w:lineRule="auto" w:before="3"/>
              <w:ind w:left="892"/>
              <w:rPr>
                <w:rFonts w:ascii="Verdana"/>
                <w:sz w:val="28"/>
              </w:rPr>
            </w:pPr>
            <w:r>
              <w:rPr>
                <w:rFonts w:ascii="Verdana"/>
                <w:color w:val="212121"/>
                <w:sz w:val="28"/>
              </w:rPr>
              <w:t>PNT2022TMID00736</w:t>
            </w:r>
          </w:p>
        </w:tc>
      </w:tr>
      <w:tr>
        <w:trPr>
          <w:trHeight w:val="1187" w:hRule="atLeast"/>
        </w:trPr>
        <w:tc>
          <w:tcPr>
            <w:tcW w:w="451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515" w:type="dxa"/>
          </w:tcPr>
          <w:p>
            <w:pPr>
              <w:pStyle w:val="TableParagraph"/>
              <w:spacing w:line="254" w:lineRule="auto"/>
              <w:ind w:left="136" w:right="179"/>
              <w:rPr>
                <w:sz w:val="32"/>
              </w:rPr>
            </w:pPr>
            <w:r>
              <w:rPr>
                <w:sz w:val="32"/>
              </w:rPr>
              <w:t>Intelligent Vehicle Damage Assessment &amp; Cost Estimator for Insurance Companies.</w:t>
            </w:r>
          </w:p>
        </w:tc>
      </w:tr>
      <w:tr>
        <w:trPr>
          <w:trHeight w:val="402" w:hRule="atLeast"/>
        </w:trPr>
        <w:tc>
          <w:tcPr>
            <w:tcW w:w="451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15" w:type="dxa"/>
          </w:tcPr>
          <w:p>
            <w:pPr>
              <w:pStyle w:val="TableParagraph"/>
              <w:ind w:left="1669" w:right="1733"/>
              <w:jc w:val="center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>
      <w:pPr>
        <w:spacing w:line="240" w:lineRule="auto" w:before="6"/>
        <w:rPr>
          <w:b/>
          <w:sz w:val="22"/>
        </w:rPr>
      </w:pPr>
    </w:p>
    <w:p>
      <w:pPr>
        <w:pStyle w:val="BodyText"/>
        <w:spacing w:before="86"/>
        <w:ind w:left="2972" w:right="312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838200</wp:posOffset>
            </wp:positionH>
            <wp:positionV relativeFrom="paragraph">
              <wp:posOffset>306266</wp:posOffset>
            </wp:positionV>
            <wp:extent cx="5794951" cy="627297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51" cy="627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Data Flow Diagram</w:t>
      </w:r>
    </w:p>
    <w:sectPr>
      <w:type w:val="continuous"/>
      <w:pgSz w:w="11900" w:h="16860"/>
      <w:pgMar w:top="136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64" w:lineRule="exact"/>
      <w:ind w:left="13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2022-10-17T06:01:37Z</dcterms:created>
  <dcterms:modified xsi:type="dcterms:W3CDTF">2022-10-17T06:01:37Z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