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</w:pPr>
      <w:r>
        <w:rPr>
          <w:rFonts w:ascii="Times New Roman" w:hAnsi="Times New Roman" w:cs="Times New Roman" w:eastAsia="Times New Roman"/>
          <w:sz w:val="32"/>
        </w:rPr>
        <w:tab/>
        <w:t xml:space="preserve">                                     </w:t>
      </w:r>
      <w:r>
        <w:rPr>
          <w:b/>
          <w:sz w:val="32"/>
        </w:rPr>
        <w:t xml:space="preserve">Sprint – </w:t>
      </w:r>
      <w:r>
        <w:rPr>
          <w:b/>
          <w:sz w:val="32"/>
        </w:rPr>
        <w:t xml:space="preserve">4</w:t>
      </w:r>
      <w:r/>
    </w:p>
    <w:p>
      <w:pPr>
        <w:spacing w:after="0"/>
      </w:pPr>
      <w:r/>
      <w:r/>
    </w:p>
    <w:p>
      <w:pPr>
        <w:spacing w:after="66"/>
        <w:tabs>
          <w:tab w:val="center" w:pos="4799" w:leader="none"/>
        </w:tabs>
      </w:pPr>
      <w:r>
        <w:rPr>
          <w:b/>
          <w:sz w:val="32"/>
        </w:rPr>
        <w:t xml:space="preserve">                                 Team ID: PNT2022TMID</w:t>
      </w:r>
      <w:r>
        <w:rPr>
          <w:b/>
          <w:sz w:val="32"/>
        </w:rPr>
        <w:t xml:space="preserve">10955</w:t>
      </w:r>
      <w:r/>
    </w:p>
    <w:p>
      <w:pPr>
        <w:ind w:left="845"/>
        <w:spacing w:after="0"/>
      </w:pPr>
      <w:r/>
      <w:r/>
    </w:p>
    <w:p>
      <w:pPr>
        <w:ind w:left="115" w:hanging="10"/>
        <w:spacing w:after="0"/>
      </w:pPr>
      <w:r>
        <w:rPr>
          <w:b/>
          <w:sz w:val="32"/>
        </w:rPr>
        <w:t xml:space="preserve">Task: </w:t>
      </w:r>
      <w:r/>
    </w:p>
    <w:p>
      <w:pPr>
        <w:ind w:left="845"/>
        <w:spacing w:after="0"/>
      </w:pPr>
      <w:r/>
      <w:r/>
    </w:p>
    <w:p>
      <w:pPr>
        <w:ind w:right="81"/>
        <w:spacing w:after="0"/>
      </w:pPr>
      <w:r>
        <w:rPr>
          <w:sz w:val="32"/>
        </w:rPr>
        <w:t xml:space="preserve">Sensed data is brought to Node-RED and displayed in dashboard </w:t>
      </w:r>
      <w:r/>
    </w:p>
    <w:p>
      <w:pPr>
        <w:spacing w:after="209"/>
      </w:pPr>
      <w:r>
        <w:rPr>
          <w:b/>
          <w:sz w:val="32"/>
        </w:rPr>
        <w:t xml:space="preserve">Steps: </w:t>
      </w:r>
      <w:r/>
    </w:p>
    <w:p>
      <w:pPr>
        <w:numPr>
          <w:ilvl w:val="0"/>
          <w:numId w:val="1"/>
        </w:numPr>
        <w:ind w:hanging="362"/>
        <w:spacing w:after="1" w:line="260" w:lineRule="auto"/>
      </w:pPr>
      <w:r>
        <w:rPr>
          <w:sz w:val="32"/>
        </w:rPr>
        <w:t xml:space="preserve">IBM </w:t>
      </w:r>
      <w:r>
        <w:rPr>
          <w:sz w:val="32"/>
        </w:rPr>
        <w:t xml:space="preserve">IoT</w:t>
      </w:r>
      <w:r>
        <w:rPr>
          <w:sz w:val="32"/>
        </w:rPr>
        <w:t xml:space="preserve"> node is used to gather sensor data. </w:t>
      </w:r>
      <w:r/>
    </w:p>
    <w:p>
      <w:pPr>
        <w:ind w:left="1200"/>
        <w:spacing w:after="50" w:line="260" w:lineRule="auto"/>
      </w:pPr>
      <w:r>
        <w:rPr>
          <w:sz w:val="32"/>
        </w:rPr>
        <w:t xml:space="preserve">a. Necessary API key is provided to establish connection. </w:t>
      </w:r>
      <w:r/>
    </w:p>
    <w:p>
      <w:pPr>
        <w:numPr>
          <w:ilvl w:val="0"/>
          <w:numId w:val="1"/>
        </w:numPr>
        <w:ind w:hanging="362"/>
        <w:spacing w:after="50" w:line="260" w:lineRule="auto"/>
      </w:pPr>
      <w:r>
        <w:rPr>
          <w:sz w:val="32"/>
        </w:rPr>
        <w:t xml:space="preserve">Using functions namely Temperature, Humidity and Gas the data is obtained independently and displayed in dashboard. </w:t>
      </w:r>
      <w:r/>
    </w:p>
    <w:p>
      <w:pPr>
        <w:numPr>
          <w:ilvl w:val="0"/>
          <w:numId w:val="1"/>
        </w:numPr>
        <w:ind w:hanging="362"/>
        <w:spacing w:after="1" w:line="260" w:lineRule="auto"/>
      </w:pPr>
      <w:r>
        <w:rPr>
          <w:sz w:val="32"/>
        </w:rPr>
        <w:t xml:space="preserve">Dashboard Nodes are used to display the sensed data to the user in a portal. </w:t>
      </w:r>
      <w:r/>
    </w:p>
    <w:p>
      <w:pPr>
        <w:spacing w:after="0"/>
      </w:pPr>
      <w:r/>
      <w:r/>
    </w:p>
    <w:p>
      <w:pPr>
        <w:spacing w:after="9"/>
      </w:pPr>
      <w:r/>
      <w:r/>
    </w:p>
    <w:p>
      <w:pPr>
        <w:ind w:left="115" w:hanging="10"/>
        <w:spacing w:after="0"/>
      </w:pPr>
      <w:r>
        <w:rPr>
          <w:b/>
          <w:sz w:val="32"/>
        </w:rPr>
        <w:t xml:space="preserve">Sour code: </w:t>
      </w:r>
      <w:r/>
    </w:p>
    <w:tbl>
      <w:tblPr>
        <w:tblStyle w:val="606"/>
        <w:tblW w:w="8027" w:type="dxa"/>
        <w:tblInd w:w="0" w:type="dxa"/>
        <w:tblLook w:val="04A0" w:firstRow="1" w:lastRow="0" w:firstColumn="1" w:lastColumn="0" w:noHBand="0" w:noVBand="1"/>
      </w:tblPr>
      <w:tblGrid>
        <w:gridCol w:w="3493"/>
        <w:gridCol w:w="4534"/>
      </w:tblGrid>
      <w:tr>
        <w:trPr>
          <w:trHeight w:val="170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93" w:type="dxa"/>
            <w:textDirection w:val="lrTb"/>
            <w:noWrap w:val="false"/>
          </w:tcPr>
          <w:p>
            <w:pPr>
              <w:ind w:left="115"/>
              <w:spacing w:after="885"/>
            </w:pPr>
            <w:r>
              <w:rPr>
                <w:sz w:val="32"/>
              </w:rPr>
              <w:t xml:space="preserve">Temperature: </w:t>
            </w:r>
            <w:r/>
          </w:p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ind w:left="12"/>
              <w:jc w:val="both"/>
            </w:pPr>
            <w:r>
              <w:rPr>
                <w:sz w:val="32"/>
              </w:rPr>
              <w:t xml:space="preserve">msg.payload</w:t>
            </w:r>
            <w:r>
              <w:rPr>
                <w:sz w:val="32"/>
              </w:rPr>
              <w:t xml:space="preserve"> = </w:t>
            </w:r>
            <w:r>
              <w:rPr>
                <w:sz w:val="32"/>
              </w:rPr>
              <w:t xml:space="preserve">msg.payload.Temp</w:t>
            </w:r>
            <w:r>
              <w:rPr>
                <w:sz w:val="32"/>
              </w:rPr>
              <w:t xml:space="preserve">; </w:t>
            </w:r>
            <w:r/>
          </w:p>
          <w:p>
            <w:pPr>
              <w:ind w:left="29"/>
            </w:pPr>
            <w:r>
              <w:rPr>
                <w:sz w:val="32"/>
              </w:rPr>
              <w:t xml:space="preserve">return </w:t>
            </w:r>
            <w:r>
              <w:rPr>
                <w:sz w:val="32"/>
              </w:rPr>
              <w:t xml:space="preserve">msg</w:t>
            </w:r>
            <w:r>
              <w:rPr>
                <w:sz w:val="32"/>
              </w:rPr>
              <w:t xml:space="preserve">; </w:t>
            </w:r>
            <w:r/>
          </w:p>
        </w:tc>
      </w:tr>
      <w:tr>
        <w:trPr>
          <w:trHeight w:val="17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93" w:type="dxa"/>
            <w:textDirection w:val="lrTb"/>
            <w:noWrap w:val="false"/>
          </w:tcPr>
          <w:p>
            <w:pPr>
              <w:ind w:left="115"/>
              <w:spacing w:after="888"/>
            </w:pPr>
            <w:r>
              <w:rPr>
                <w:sz w:val="32"/>
              </w:rPr>
              <w:t xml:space="preserve">Humidity: </w:t>
            </w:r>
            <w:r/>
          </w:p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jc w:val="both"/>
            </w:pPr>
            <w:r>
              <w:rPr>
                <w:sz w:val="32"/>
              </w:rPr>
              <w:t xml:space="preserve">msg.payload</w:t>
            </w:r>
            <w:r>
              <w:rPr>
                <w:sz w:val="32"/>
              </w:rPr>
              <w:t xml:space="preserve"> = </w:t>
            </w:r>
            <w:r>
              <w:rPr>
                <w:sz w:val="32"/>
              </w:rPr>
              <w:t xml:space="preserve">msg.payload.Hum</w:t>
            </w:r>
            <w:r>
              <w:rPr>
                <w:sz w:val="32"/>
              </w:rPr>
              <w:t xml:space="preserve">; </w:t>
            </w:r>
            <w:r/>
          </w:p>
          <w:p>
            <w:pPr>
              <w:ind w:left="29"/>
            </w:pPr>
            <w:r>
              <w:rPr>
                <w:sz w:val="32"/>
              </w:rPr>
              <w:t xml:space="preserve">return </w:t>
            </w:r>
            <w:r>
              <w:rPr>
                <w:sz w:val="32"/>
              </w:rPr>
              <w:t xml:space="preserve">msg</w:t>
            </w:r>
            <w:r>
              <w:rPr>
                <w:sz w:val="32"/>
              </w:rPr>
              <w:t xml:space="preserve">; </w:t>
            </w:r>
            <w:r/>
          </w:p>
        </w:tc>
      </w:tr>
      <w:tr>
        <w:trPr>
          <w:trHeight w:val="3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93" w:type="dxa"/>
            <w:textDirection w:val="lrTb"/>
            <w:noWrap w:val="false"/>
          </w:tcPr>
          <w:p>
            <w:pPr>
              <w:ind w:left="120"/>
            </w:pPr>
            <w:r>
              <w:rPr>
                <w:sz w:val="32"/>
              </w:rPr>
              <w:t xml:space="preserve">Concentration of Gas: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ind w:left="43"/>
            </w:pPr>
            <w:r>
              <w:rPr>
                <w:sz w:val="32"/>
              </w:rPr>
              <w:t xml:space="preserve">msg.payload</w:t>
            </w:r>
            <w:r>
              <w:rPr>
                <w:sz w:val="32"/>
              </w:rPr>
              <w:t xml:space="preserve"> = </w:t>
            </w:r>
            <w:r>
              <w:rPr>
                <w:sz w:val="32"/>
              </w:rPr>
              <w:t xml:space="preserve">msg.payload.gas</w:t>
            </w:r>
            <w:r>
              <w:rPr>
                <w:sz w:val="32"/>
              </w:rPr>
              <w:t xml:space="preserve">; </w:t>
            </w:r>
            <w:r/>
          </w:p>
        </w:tc>
      </w:tr>
    </w:tbl>
    <w:p>
      <w:pPr>
        <w:ind w:right="639"/>
        <w:jc w:val="center"/>
        <w:spacing w:after="0"/>
      </w:pPr>
      <w:r>
        <w:rPr>
          <w:sz w:val="32"/>
        </w:rPr>
        <w:t xml:space="preserve">return</w:t>
      </w:r>
      <w:r>
        <w:rPr>
          <w:sz w:val="32"/>
        </w:rPr>
        <w:t xml:space="preserve"> </w:t>
      </w:r>
      <w:r>
        <w:rPr>
          <w:sz w:val="32"/>
        </w:rPr>
        <w:t xml:space="preserve">msg</w:t>
      </w:r>
      <w:r>
        <w:rPr>
          <w:sz w:val="32"/>
        </w:rPr>
        <w:t xml:space="preserve">; </w:t>
      </w:r>
      <w:r/>
    </w:p>
    <w:p>
      <w:pPr>
        <w:ind w:left="115" w:hanging="10"/>
        <w:spacing w:after="204"/>
      </w:pPr>
      <w:r>
        <w:rPr>
          <w:b/>
          <w:sz w:val="32"/>
        </w:rPr>
        <w:t xml:space="preserve">Output: </w:t>
      </w:r>
      <w:r/>
    </w:p>
    <w:p>
      <w:pPr>
        <w:numPr>
          <w:ilvl w:val="0"/>
          <w:numId w:val="2"/>
        </w:numPr>
        <w:ind w:right="4199" w:hanging="362"/>
        <w:jc w:val="center"/>
        <w:spacing w:after="0"/>
      </w:pPr>
      <w:r>
        <w:rPr>
          <w:b/>
          <w:sz w:val="32"/>
        </w:rPr>
        <w:t xml:space="preserve">Data is brought to Node-RED </w:t>
      </w:r>
      <w:r/>
    </w:p>
    <w:p>
      <w:pPr>
        <w:spacing w:after="0"/>
      </w:pPr>
      <w:r/>
      <w:r/>
    </w:p>
    <w:p>
      <w:pPr>
        <w:ind w:left="120" w:right="-273"/>
        <w:spacing w:after="66"/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458" cy="3154045"/>
                <wp:effectExtent l="0" t="0" r="0" b="0"/>
                <wp:docPr id="1" name="Picture 235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" name="Picture 235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2458" cy="315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9pt;height:248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after="0"/>
      </w:pPr>
      <w:r/>
      <w:r/>
    </w:p>
    <w:p>
      <w:pPr>
        <w:spacing w:after="102"/>
      </w:pPr>
      <w:r/>
      <w:r/>
    </w:p>
    <w:p>
      <w:pPr>
        <w:numPr>
          <w:ilvl w:val="0"/>
          <w:numId w:val="2"/>
        </w:numPr>
        <w:ind w:right="4199" w:hanging="362"/>
        <w:jc w:val="center"/>
        <w:spacing w:after="0"/>
      </w:pPr>
      <w:r>
        <w:rPr>
          <w:b/>
          <w:sz w:val="32"/>
        </w:rPr>
        <w:t xml:space="preserve">Data is displayed in Dashboard </w:t>
      </w:r>
      <w:r/>
    </w:p>
    <w:p>
      <w:pPr>
        <w:spacing w:after="0"/>
      </w:pPr>
      <w:r/>
      <w:r/>
    </w:p>
    <w:p>
      <w:pPr>
        <w:ind w:left="480" w:right="-504"/>
        <w:spacing w:after="0"/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0542" cy="2817495"/>
                <wp:effectExtent l="0" t="0" r="0" b="0"/>
                <wp:docPr id="2" name="Picture 237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" name="Picture 237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60542" cy="2817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1.5pt;height:221.8pt;" stroked="false">
                <v:path textboxrect="0,0,0,0"/>
                <v:imagedata r:id="rId10" o:title=""/>
              </v:shape>
            </w:pict>
          </mc:Fallback>
        </mc:AlternateContent>
      </w:r>
      <w:r/>
    </w:p>
    <w:sectPr>
      <w:footnotePr/>
      <w:endnotePr/>
      <w:type w:val="nextPage"/>
      <w:pgSz w:w="12240" w:h="15840" w:orient="portrait"/>
      <w:pgMar w:top="1502" w:right="1715" w:bottom="2560" w:left="13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2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55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27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99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71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43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15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87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598"/>
      </w:pPr>
      <w:rPr>
        <w:rFonts w:ascii="Calibri" w:hAnsi="Calibri" w:cs="Calibri" w:eastAsia="Calibri"/>
        <w:b/>
        <w:bCs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7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55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27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99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71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43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15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87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599"/>
      </w:pPr>
      <w:rPr>
        <w:rFonts w:ascii="Calibri" w:hAnsi="Calibri" w:cs="Calibri" w:eastAsia="Calibri"/>
        <w:b w:val="0"/>
        <w:i w:val="0"/>
        <w:strike w:val="false"/>
        <w:color w:val="000000"/>
        <w:sz w:val="32"/>
        <w:szCs w:val="3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ascii="Calibri" w:hAnsi="Calibri" w:cs="Calibri" w:eastAsia="Calibri"/>
      <w:color w:val="000000"/>
      <w:lang w:bidi="en-US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table" w:styleId="606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07">
    <w:name w:val="Balloon Text"/>
    <w:basedOn w:val="602"/>
    <w:link w:val="60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8" w:customStyle="1">
    <w:name w:val="Balloon Text Char"/>
    <w:basedOn w:val="603"/>
    <w:link w:val="607"/>
    <w:uiPriority w:val="99"/>
    <w:semiHidden/>
    <w:rPr>
      <w:rFonts w:ascii="Tahoma" w:hAnsi="Tahoma" w:cs="Tahoma" w:eastAsia="Calibri"/>
      <w:color w:val="000000"/>
      <w:sz w:val="16"/>
      <w:szCs w:val="16"/>
      <w:lang w:bidi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Guset_396</cp:lastModifiedBy>
  <cp:revision>3</cp:revision>
  <dcterms:created xsi:type="dcterms:W3CDTF">2022-11-11T05:33:00Z</dcterms:created>
  <dcterms:modified xsi:type="dcterms:W3CDTF">2022-11-18T11:06:02Z</dcterms:modified>
</cp:coreProperties>
</file>