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29"/>
        <w:gridCol w:w="1579"/>
        <w:gridCol w:w="2087"/>
        <w:gridCol w:w="2222"/>
        <w:gridCol w:w="2025"/>
      </w:tblGrid>
      <w:tr w:rsidR="001709DB" w:rsidRPr="001709DB" w:rsidTr="00DF06ED">
        <w:tc>
          <w:tcPr>
            <w:tcW w:w="1713" w:type="dxa"/>
          </w:tcPr>
          <w:p w:rsidR="00DF06ED" w:rsidRPr="001709DB" w:rsidRDefault="00DF06ED" w:rsidP="00BB7B03">
            <w:pPr>
              <w:jc w:val="center"/>
              <w:rPr>
                <w:rFonts w:ascii="Times New Roman" w:hAnsi="Times New Roman" w:cs="Times New Roman"/>
                <w:b/>
              </w:rPr>
            </w:pPr>
            <w:r w:rsidRPr="001709DB">
              <w:rPr>
                <w:rFonts w:ascii="Times New Roman" w:hAnsi="Times New Roman" w:cs="Times New Roman"/>
                <w:b/>
              </w:rPr>
              <w:t>S.NO</w:t>
            </w:r>
          </w:p>
        </w:tc>
        <w:tc>
          <w:tcPr>
            <w:tcW w:w="1754" w:type="dxa"/>
          </w:tcPr>
          <w:p w:rsidR="00DF06ED" w:rsidRPr="001709DB" w:rsidRDefault="00DF06ED" w:rsidP="00BB7B03">
            <w:pPr>
              <w:jc w:val="center"/>
              <w:rPr>
                <w:rFonts w:ascii="Times New Roman" w:hAnsi="Times New Roman" w:cs="Times New Roman"/>
                <w:b/>
              </w:rPr>
            </w:pPr>
            <w:r w:rsidRPr="001709DB">
              <w:rPr>
                <w:rFonts w:ascii="Times New Roman" w:hAnsi="Times New Roman" w:cs="Times New Roman"/>
                <w:b/>
              </w:rPr>
              <w:t>TITLE</w:t>
            </w:r>
          </w:p>
        </w:tc>
        <w:tc>
          <w:tcPr>
            <w:tcW w:w="1827" w:type="dxa"/>
          </w:tcPr>
          <w:p w:rsidR="00DF06ED" w:rsidRPr="001709DB" w:rsidRDefault="00DF06ED" w:rsidP="00BB7B03">
            <w:pPr>
              <w:jc w:val="center"/>
              <w:rPr>
                <w:rFonts w:ascii="Times New Roman" w:hAnsi="Times New Roman" w:cs="Times New Roman"/>
                <w:b/>
              </w:rPr>
            </w:pPr>
            <w:r w:rsidRPr="001709DB">
              <w:rPr>
                <w:rFonts w:ascii="Times New Roman" w:hAnsi="Times New Roman" w:cs="Times New Roman"/>
                <w:b/>
              </w:rPr>
              <w:t>AUTHOR</w:t>
            </w:r>
          </w:p>
        </w:tc>
        <w:tc>
          <w:tcPr>
            <w:tcW w:w="2327" w:type="dxa"/>
          </w:tcPr>
          <w:p w:rsidR="00DF06ED" w:rsidRPr="001709DB" w:rsidRDefault="00DF06ED" w:rsidP="00BB7B03">
            <w:pPr>
              <w:jc w:val="center"/>
              <w:rPr>
                <w:rFonts w:ascii="Times New Roman" w:hAnsi="Times New Roman" w:cs="Times New Roman"/>
                <w:b/>
              </w:rPr>
            </w:pPr>
            <w:r w:rsidRPr="001709DB">
              <w:rPr>
                <w:rFonts w:ascii="Times New Roman" w:hAnsi="Times New Roman" w:cs="Times New Roman"/>
                <w:b/>
              </w:rPr>
              <w:t>ABSTRACT</w:t>
            </w:r>
          </w:p>
        </w:tc>
        <w:tc>
          <w:tcPr>
            <w:tcW w:w="1621" w:type="dxa"/>
          </w:tcPr>
          <w:p w:rsidR="00DF06ED" w:rsidRPr="001709DB" w:rsidRDefault="00DF06ED" w:rsidP="00BB7B03">
            <w:pPr>
              <w:jc w:val="center"/>
              <w:rPr>
                <w:rFonts w:ascii="Times New Roman" w:hAnsi="Times New Roman" w:cs="Times New Roman"/>
                <w:b/>
              </w:rPr>
            </w:pPr>
            <w:r w:rsidRPr="001709DB">
              <w:rPr>
                <w:rFonts w:ascii="Times New Roman" w:hAnsi="Times New Roman" w:cs="Times New Roman"/>
                <w:b/>
              </w:rPr>
              <w:t>CONCLUSION</w:t>
            </w:r>
          </w:p>
        </w:tc>
      </w:tr>
      <w:tr w:rsidR="001709DB" w:rsidRPr="001709DB" w:rsidTr="00DF06ED">
        <w:tc>
          <w:tcPr>
            <w:tcW w:w="1713" w:type="dxa"/>
          </w:tcPr>
          <w:p w:rsidR="00DF06ED" w:rsidRPr="001709DB" w:rsidRDefault="00DF06ED" w:rsidP="00BB7B03">
            <w:pPr>
              <w:rPr>
                <w:rFonts w:ascii="Times New Roman" w:hAnsi="Times New Roman" w:cs="Times New Roman"/>
              </w:rPr>
            </w:pPr>
            <w:r w:rsidRPr="001709DB">
              <w:rPr>
                <w:rFonts w:ascii="Times New Roman" w:hAnsi="Times New Roman" w:cs="Times New Roman"/>
              </w:rPr>
              <w:t>1.</w:t>
            </w:r>
          </w:p>
        </w:tc>
        <w:tc>
          <w:tcPr>
            <w:tcW w:w="1754" w:type="dxa"/>
          </w:tcPr>
          <w:p w:rsidR="00DF06ED" w:rsidRPr="001709DB" w:rsidRDefault="00DF06ED" w:rsidP="00BB7B03">
            <w:pPr>
              <w:rPr>
                <w:rFonts w:ascii="Times New Roman" w:hAnsi="Times New Roman" w:cs="Times New Roman"/>
              </w:rPr>
            </w:pPr>
            <w:r w:rsidRPr="001709DB">
              <w:rPr>
                <w:rFonts w:ascii="Times New Roman" w:hAnsi="Times New Roman" w:cs="Times New Roman"/>
              </w:rPr>
              <w:t xml:space="preserve">Nutrition </w:t>
            </w:r>
          </w:p>
          <w:p w:rsidR="00DF06ED" w:rsidRPr="001709DB" w:rsidRDefault="00DF06ED" w:rsidP="00BB7B03">
            <w:pPr>
              <w:rPr>
                <w:rFonts w:ascii="Times New Roman" w:hAnsi="Times New Roman" w:cs="Times New Roman"/>
              </w:rPr>
            </w:pPr>
            <w:r w:rsidRPr="001709DB">
              <w:rPr>
                <w:rFonts w:ascii="Times New Roman" w:hAnsi="Times New Roman" w:cs="Times New Roman"/>
              </w:rPr>
              <w:t>Research</w:t>
            </w:r>
          </w:p>
        </w:tc>
        <w:tc>
          <w:tcPr>
            <w:tcW w:w="1827" w:type="dxa"/>
          </w:tcPr>
          <w:p w:rsidR="00DF06ED" w:rsidRPr="001709DB" w:rsidRDefault="00DF06ED" w:rsidP="00BB7B03">
            <w:pPr>
              <w:rPr>
                <w:rFonts w:ascii="Times New Roman" w:hAnsi="Times New Roman" w:cs="Times New Roman"/>
              </w:rPr>
            </w:pPr>
            <w:r w:rsidRPr="001709DB">
              <w:rPr>
                <w:rFonts w:ascii="Times New Roman" w:hAnsi="Times New Roman" w:cs="Times New Roman"/>
              </w:rPr>
              <w:t>Richard S.Burno,PHD,RD</w:t>
            </w:r>
          </w:p>
        </w:tc>
        <w:tc>
          <w:tcPr>
            <w:tcW w:w="2327" w:type="dxa"/>
          </w:tcPr>
          <w:p w:rsidR="00DF06ED" w:rsidRPr="001709DB" w:rsidRDefault="00DF06ED" w:rsidP="00BB7B03">
            <w:pPr>
              <w:rPr>
                <w:rFonts w:ascii="Times New Roman" w:hAnsi="Times New Roman" w:cs="Times New Roman"/>
              </w:rPr>
            </w:pPr>
            <w:r w:rsidRPr="001709DB">
              <w:rPr>
                <w:rStyle w:val="Emphasis"/>
                <w:rFonts w:ascii="Times New Roman" w:hAnsi="Times New Roman" w:cs="Times New Roman"/>
                <w:color w:val="2E2E2E"/>
                <w:shd w:val="clear" w:color="auto" w:fill="FFFFFF"/>
              </w:rPr>
              <w:t>Nutrition Research</w:t>
            </w:r>
            <w:r w:rsidRPr="001709DB">
              <w:rPr>
                <w:rFonts w:ascii="Times New Roman" w:hAnsi="Times New Roman" w:cs="Times New Roman"/>
                <w:color w:val="2E2E2E"/>
                <w:shd w:val="clear" w:color="auto" w:fill="FFFFFF"/>
              </w:rPr>
              <w:t> publishes original research articles, communications, and reviews on basic and applied nutrition. The mission of </w:t>
            </w:r>
            <w:r w:rsidRPr="001709DB">
              <w:rPr>
                <w:rStyle w:val="Emphasis"/>
                <w:rFonts w:ascii="Times New Roman" w:hAnsi="Times New Roman" w:cs="Times New Roman"/>
                <w:color w:val="2E2E2E"/>
                <w:shd w:val="clear" w:color="auto" w:fill="FFFFFF"/>
              </w:rPr>
              <w:t>Nutrition Research</w:t>
            </w:r>
            <w:r w:rsidRPr="001709DB">
              <w:rPr>
                <w:rFonts w:ascii="Times New Roman" w:hAnsi="Times New Roman" w:cs="Times New Roman"/>
                <w:color w:val="2E2E2E"/>
                <w:shd w:val="clear" w:color="auto" w:fill="FFFFFF"/>
              </w:rPr>
              <w:t> is to serve as the journal for global communication of nutrition and life sciences research on diet and health. The field of nutrition sciences includes, but is not limited to, the study of nutrients during growth, reproduction, aging, health, and disease.</w:t>
            </w:r>
          </w:p>
        </w:tc>
        <w:tc>
          <w:tcPr>
            <w:tcW w:w="1621" w:type="dxa"/>
          </w:tcPr>
          <w:p w:rsidR="00DF06ED" w:rsidRPr="001709DB" w:rsidRDefault="00DF06ED" w:rsidP="00BB7B03">
            <w:pPr>
              <w:rPr>
                <w:rFonts w:ascii="Times New Roman" w:hAnsi="Times New Roman" w:cs="Times New Roman"/>
              </w:rPr>
            </w:pPr>
            <w:r w:rsidRPr="001709DB">
              <w:rPr>
                <w:rFonts w:ascii="Times New Roman" w:hAnsi="Times New Roman" w:cs="Times New Roman"/>
                <w:color w:val="2E2E2E"/>
                <w:shd w:val="clear" w:color="auto" w:fill="FFFFFF"/>
              </w:rPr>
              <w:t>Nutrient intakes in human populations and novel analytical techniques for bioactive compounds are within the scope of the mission for </w:t>
            </w:r>
            <w:r w:rsidRPr="001709DB">
              <w:rPr>
                <w:rStyle w:val="Emphasis"/>
                <w:rFonts w:ascii="Times New Roman" w:hAnsi="Times New Roman" w:cs="Times New Roman"/>
                <w:color w:val="2E2E2E"/>
                <w:shd w:val="clear" w:color="auto" w:fill="FFFFFF"/>
              </w:rPr>
              <w:t>Nutrition Research</w:t>
            </w:r>
            <w:r w:rsidRPr="001709DB">
              <w:rPr>
                <w:rFonts w:ascii="Times New Roman" w:hAnsi="Times New Roman" w:cs="Times New Roman"/>
                <w:color w:val="2E2E2E"/>
                <w:shd w:val="clear" w:color="auto" w:fill="FFFFFF"/>
              </w:rPr>
              <w:t>.</w:t>
            </w:r>
          </w:p>
        </w:tc>
      </w:tr>
      <w:tr w:rsidR="001709DB" w:rsidRPr="001709DB" w:rsidTr="00DF06ED">
        <w:tc>
          <w:tcPr>
            <w:tcW w:w="1713" w:type="dxa"/>
          </w:tcPr>
          <w:p w:rsidR="00DF06ED" w:rsidRPr="001709DB" w:rsidRDefault="00DF06ED" w:rsidP="00DF06ED">
            <w:pPr>
              <w:rPr>
                <w:rFonts w:ascii="Times New Roman" w:hAnsi="Times New Roman" w:cs="Times New Roman"/>
              </w:rPr>
            </w:pPr>
            <w:r w:rsidRPr="001709DB">
              <w:rPr>
                <w:rFonts w:ascii="Times New Roman" w:hAnsi="Times New Roman" w:cs="Times New Roman"/>
              </w:rPr>
              <w:t>2.</w:t>
            </w:r>
          </w:p>
        </w:tc>
        <w:tc>
          <w:tcPr>
            <w:tcW w:w="1754" w:type="dxa"/>
          </w:tcPr>
          <w:p w:rsidR="00DF06ED" w:rsidRPr="00DF06ED" w:rsidRDefault="00DF06ED" w:rsidP="00DF06ED">
            <w:pPr>
              <w:shd w:val="clear" w:color="auto" w:fill="FFFFFF"/>
              <w:spacing w:before="100" w:beforeAutospacing="1" w:after="100" w:afterAutospacing="1"/>
              <w:outlineLvl w:val="0"/>
              <w:rPr>
                <w:rFonts w:ascii="Times New Roman" w:eastAsia="Times New Roman" w:hAnsi="Times New Roman" w:cs="Times New Roman"/>
                <w:color w:val="2E2E2E"/>
                <w:kern w:val="36"/>
                <w:lang w:eastAsia="en-IN"/>
              </w:rPr>
            </w:pPr>
            <w:r w:rsidRPr="00DF06ED">
              <w:rPr>
                <w:rFonts w:ascii="Times New Roman" w:eastAsia="Times New Roman" w:hAnsi="Times New Roman" w:cs="Times New Roman"/>
                <w:color w:val="2E2E2E"/>
                <w:kern w:val="36"/>
                <w:lang w:eastAsia="en-IN"/>
              </w:rPr>
              <w:t>Human Nutrition &amp; Metabolism</w:t>
            </w:r>
          </w:p>
          <w:p w:rsidR="00DF06ED" w:rsidRPr="001709DB" w:rsidRDefault="00DF06ED" w:rsidP="00DF06ED">
            <w:pPr>
              <w:rPr>
                <w:rFonts w:ascii="Times New Roman" w:hAnsi="Times New Roman" w:cs="Times New Roman"/>
              </w:rPr>
            </w:pPr>
          </w:p>
        </w:tc>
        <w:tc>
          <w:tcPr>
            <w:tcW w:w="1827" w:type="dxa"/>
          </w:tcPr>
          <w:p w:rsidR="00DF06ED" w:rsidRPr="001709DB" w:rsidRDefault="00DF06ED" w:rsidP="00DF06ED">
            <w:pPr>
              <w:rPr>
                <w:rFonts w:ascii="Times New Roman" w:hAnsi="Times New Roman" w:cs="Times New Roman"/>
              </w:rPr>
            </w:pPr>
            <w:r w:rsidRPr="001709DB">
              <w:rPr>
                <w:rFonts w:ascii="Times New Roman" w:hAnsi="Times New Roman" w:cs="Times New Roman"/>
                <w:color w:val="2E2E2E"/>
                <w:shd w:val="clear" w:color="auto" w:fill="FFFFFF"/>
              </w:rPr>
              <w:t>Jing-Xuan Kang, MD, PhD</w:t>
            </w:r>
            <w:r w:rsidRPr="001709DB">
              <w:rPr>
                <w:rFonts w:ascii="Times New Roman" w:hAnsi="Times New Roman" w:cs="Times New Roman"/>
                <w:color w:val="2E2E2E"/>
                <w:shd w:val="clear" w:color="auto" w:fill="FFFFFF"/>
              </w:rPr>
              <w:t xml:space="preserve"> , </w:t>
            </w:r>
            <w:r w:rsidRPr="001709DB">
              <w:rPr>
                <w:rFonts w:ascii="Times New Roman" w:hAnsi="Times New Roman" w:cs="Times New Roman"/>
                <w:color w:val="2E2E2E"/>
                <w:shd w:val="clear" w:color="auto" w:fill="FFFFFF"/>
              </w:rPr>
              <w:t>Maarten R. Soeters, MD, PhD</w:t>
            </w:r>
          </w:p>
        </w:tc>
        <w:tc>
          <w:tcPr>
            <w:tcW w:w="2327" w:type="dxa"/>
          </w:tcPr>
          <w:p w:rsidR="00DF06ED" w:rsidRPr="001709DB" w:rsidRDefault="00DF06ED" w:rsidP="00DF06ED">
            <w:pPr>
              <w:pStyle w:val="NormalWeb"/>
              <w:shd w:val="clear" w:color="auto" w:fill="FFFFFF"/>
              <w:spacing w:before="0" w:beforeAutospacing="0"/>
              <w:rPr>
                <w:color w:val="2E2E2E"/>
                <w:sz w:val="22"/>
                <w:szCs w:val="22"/>
              </w:rPr>
            </w:pPr>
            <w:r w:rsidRPr="001709DB">
              <w:rPr>
                <w:rStyle w:val="Emphasis"/>
                <w:color w:val="2E2E2E"/>
                <w:sz w:val="22"/>
                <w:szCs w:val="22"/>
              </w:rPr>
              <w:t>Human Nutrition &amp; Metabolism</w:t>
            </w:r>
            <w:r w:rsidRPr="001709DB">
              <w:rPr>
                <w:color w:val="2E2E2E"/>
                <w:sz w:val="22"/>
                <w:szCs w:val="22"/>
              </w:rPr>
              <w:t> is a new Open Access venue for human research in the field of nutrition and metabolism.Changes in modern era lifestyle and disease epidemiology demonstrate the importance of nutrition and metabolism for human health. Awareness of its relevance has led governments, funding- and science-bodies to speed up nutritional and metabolic research.</w:t>
            </w:r>
          </w:p>
          <w:p w:rsidR="00DF06ED" w:rsidRPr="001709DB" w:rsidRDefault="00DF06ED" w:rsidP="00DF06ED">
            <w:pPr>
              <w:rPr>
                <w:rFonts w:ascii="Times New Roman" w:hAnsi="Times New Roman" w:cs="Times New Roman"/>
              </w:rPr>
            </w:pPr>
          </w:p>
        </w:tc>
        <w:tc>
          <w:tcPr>
            <w:tcW w:w="1621" w:type="dxa"/>
          </w:tcPr>
          <w:p w:rsidR="00DF06ED" w:rsidRPr="001709DB" w:rsidRDefault="00DF06ED" w:rsidP="00DF06ED">
            <w:pPr>
              <w:rPr>
                <w:rFonts w:ascii="Times New Roman" w:hAnsi="Times New Roman" w:cs="Times New Roman"/>
              </w:rPr>
            </w:pPr>
            <w:r w:rsidRPr="001709DB">
              <w:rPr>
                <w:rFonts w:ascii="Times New Roman" w:hAnsi="Times New Roman" w:cs="Times New Roman"/>
                <w:color w:val="2E2E2E"/>
                <w:shd w:val="clear" w:color="auto" w:fill="FFFFFF"/>
              </w:rPr>
              <w:t>We pursue dissemination of human research results to secure evidence based, state of the art and innovative nutritional and metabolic care. In </w:t>
            </w:r>
            <w:r w:rsidRPr="001709DB">
              <w:rPr>
                <w:rStyle w:val="Emphasis"/>
                <w:rFonts w:ascii="Times New Roman" w:hAnsi="Times New Roman" w:cs="Times New Roman"/>
                <w:color w:val="2E2E2E"/>
                <w:shd w:val="clear" w:color="auto" w:fill="FFFFFF"/>
              </w:rPr>
              <w:t>Human Nutrition &amp; Metabolism</w:t>
            </w:r>
            <w:r w:rsidRPr="001709DB">
              <w:rPr>
                <w:rFonts w:ascii="Times New Roman" w:hAnsi="Times New Roman" w:cs="Times New Roman"/>
                <w:color w:val="2E2E2E"/>
                <w:shd w:val="clear" w:color="auto" w:fill="FFFFFF"/>
              </w:rPr>
              <w:t> the bench meets the bedside</w:t>
            </w:r>
          </w:p>
        </w:tc>
      </w:tr>
      <w:tr w:rsidR="001709DB" w:rsidRPr="001709DB" w:rsidTr="00DF06ED">
        <w:tc>
          <w:tcPr>
            <w:tcW w:w="1713" w:type="dxa"/>
          </w:tcPr>
          <w:p w:rsidR="00DF06ED" w:rsidRPr="001709DB" w:rsidRDefault="00F52AAC" w:rsidP="00DF06ED">
            <w:pPr>
              <w:rPr>
                <w:rFonts w:ascii="Times New Roman" w:hAnsi="Times New Roman" w:cs="Times New Roman"/>
              </w:rPr>
            </w:pPr>
            <w:r w:rsidRPr="001709DB">
              <w:rPr>
                <w:rFonts w:ascii="Times New Roman" w:hAnsi="Times New Roman" w:cs="Times New Roman"/>
              </w:rPr>
              <w:t>3.</w:t>
            </w:r>
          </w:p>
        </w:tc>
        <w:tc>
          <w:tcPr>
            <w:tcW w:w="1754" w:type="dxa"/>
          </w:tcPr>
          <w:p w:rsidR="00F52AAC" w:rsidRPr="001709DB" w:rsidRDefault="00F52AAC" w:rsidP="00F52AAC">
            <w:pPr>
              <w:pStyle w:val="Heading3"/>
              <w:spacing w:before="0"/>
              <w:rPr>
                <w:rFonts w:ascii="Times New Roman" w:hAnsi="Times New Roman" w:cs="Times New Roman"/>
                <w:b w:val="0"/>
                <w:bCs w:val="0"/>
                <w:color w:val="2E2E2E"/>
              </w:rPr>
            </w:pPr>
            <w:r w:rsidRPr="001709DB">
              <w:rPr>
                <w:rFonts w:ascii="Times New Roman" w:hAnsi="Times New Roman" w:cs="Times New Roman"/>
                <w:b w:val="0"/>
                <w:bCs w:val="0"/>
                <w:color w:val="2E2E2E"/>
              </w:rPr>
              <w:t>Medical Nutrition Therapy</w:t>
            </w:r>
          </w:p>
          <w:p w:rsidR="00DF06ED" w:rsidRPr="001709DB" w:rsidRDefault="00DF06ED" w:rsidP="00DF06ED">
            <w:pPr>
              <w:rPr>
                <w:rFonts w:ascii="Times New Roman" w:hAnsi="Times New Roman" w:cs="Times New Roman"/>
              </w:rPr>
            </w:pPr>
          </w:p>
        </w:tc>
        <w:tc>
          <w:tcPr>
            <w:tcW w:w="1827" w:type="dxa"/>
          </w:tcPr>
          <w:p w:rsidR="00DF06ED" w:rsidRPr="001709DB" w:rsidRDefault="00C05307" w:rsidP="00DF06ED">
            <w:pPr>
              <w:rPr>
                <w:rFonts w:ascii="Times New Roman" w:hAnsi="Times New Roman" w:cs="Times New Roman"/>
              </w:rPr>
            </w:pPr>
            <w:r w:rsidRPr="001709DB">
              <w:rPr>
                <w:rFonts w:ascii="Times New Roman" w:hAnsi="Times New Roman" w:cs="Times New Roman"/>
                <w:color w:val="2E2E2E"/>
              </w:rPr>
              <w:t>Shlomo Melmed MB ChB, MACP, in Williams Textbook of Endocrinology, 2020</w:t>
            </w:r>
          </w:p>
        </w:tc>
        <w:tc>
          <w:tcPr>
            <w:tcW w:w="2327" w:type="dxa"/>
          </w:tcPr>
          <w:p w:rsidR="00DF06ED" w:rsidRPr="001709DB" w:rsidRDefault="00C05307" w:rsidP="00C05307">
            <w:pPr>
              <w:rPr>
                <w:rFonts w:ascii="Times New Roman" w:hAnsi="Times New Roman" w:cs="Times New Roman"/>
              </w:rPr>
            </w:pPr>
            <w:r w:rsidRPr="001709DB">
              <w:rPr>
                <w:rFonts w:ascii="Times New Roman" w:hAnsi="Times New Roman" w:cs="Times New Roman"/>
                <w:color w:val="2E2E2E"/>
              </w:rPr>
              <w:t> Ideally all patients should have access to a registered dietitian-nutritionist (RDN) to facilitate it.</w:t>
            </w:r>
            <w:r w:rsidRPr="001709DB">
              <w:rPr>
                <w:rFonts w:ascii="Times New Roman" w:hAnsi="Times New Roman" w:cs="Times New Roman"/>
                <w:color w:val="2E2E2E"/>
              </w:rPr>
              <w:t xml:space="preserve"> </w:t>
            </w:r>
            <w:r w:rsidRPr="001709DB">
              <w:rPr>
                <w:rFonts w:ascii="Times New Roman" w:hAnsi="Times New Roman" w:cs="Times New Roman"/>
                <w:color w:val="2E2E2E"/>
              </w:rPr>
              <w:t xml:space="preserve">Recent guidelines recommend three to six MNT sessions in the first 6 months after </w:t>
            </w:r>
            <w:r w:rsidRPr="001709DB">
              <w:rPr>
                <w:rFonts w:ascii="Times New Roman" w:hAnsi="Times New Roman" w:cs="Times New Roman"/>
                <w:color w:val="2E2E2E"/>
              </w:rPr>
              <w:lastRenderedPageBreak/>
              <w:t>diagnosis. Medical nutrition therapy has been shown to decrease HbA</w:t>
            </w:r>
            <w:r w:rsidRPr="001709DB">
              <w:rPr>
                <w:rFonts w:ascii="Times New Roman" w:hAnsi="Times New Roman" w:cs="Times New Roman"/>
                <w:color w:val="2E2E2E"/>
                <w:vertAlign w:val="subscript"/>
              </w:rPr>
              <w:t>1c</w:t>
            </w:r>
            <w:r w:rsidRPr="001709DB">
              <w:rPr>
                <w:rFonts w:ascii="Times New Roman" w:hAnsi="Times New Roman" w:cs="Times New Roman"/>
                <w:color w:val="2E2E2E"/>
              </w:rPr>
              <w:t> by 0.3% to 2%. In a typically obese and older T2DM population the basic goals of nutrition therapy include weight reduction or maintenance, adequate glucose control, a nutrient-sufficient diet, and nutritional efforts to reduce cardiovascular risk by controlling blood pressure and lipid levels.</w:t>
            </w:r>
          </w:p>
        </w:tc>
        <w:tc>
          <w:tcPr>
            <w:tcW w:w="1621" w:type="dxa"/>
          </w:tcPr>
          <w:p w:rsidR="00DF06ED" w:rsidRPr="001709DB" w:rsidRDefault="00C05307" w:rsidP="00DF06ED">
            <w:pPr>
              <w:rPr>
                <w:rFonts w:ascii="Times New Roman" w:hAnsi="Times New Roman" w:cs="Times New Roman"/>
              </w:rPr>
            </w:pPr>
            <w:r w:rsidRPr="001709DB">
              <w:rPr>
                <w:rFonts w:ascii="Times New Roman" w:hAnsi="Times New Roman" w:cs="Times New Roman"/>
                <w:color w:val="2E2E2E"/>
              </w:rPr>
              <w:lastRenderedPageBreak/>
              <w:t xml:space="preserve">Finally, it is important to track the success of nutrition goals determined in previous visits, setting new goals and potentially offering new </w:t>
            </w:r>
            <w:r w:rsidRPr="001709DB">
              <w:rPr>
                <w:rFonts w:ascii="Times New Roman" w:hAnsi="Times New Roman" w:cs="Times New Roman"/>
                <w:color w:val="2E2E2E"/>
              </w:rPr>
              <w:lastRenderedPageBreak/>
              <w:t>resources where appropriate.</w:t>
            </w:r>
          </w:p>
        </w:tc>
      </w:tr>
      <w:tr w:rsidR="001709DB" w:rsidRPr="001709DB" w:rsidTr="00DF06ED">
        <w:tc>
          <w:tcPr>
            <w:tcW w:w="1713" w:type="dxa"/>
          </w:tcPr>
          <w:p w:rsidR="00DF06ED" w:rsidRPr="001709DB" w:rsidRDefault="00C05307" w:rsidP="00DF06ED">
            <w:pPr>
              <w:rPr>
                <w:rFonts w:ascii="Times New Roman" w:hAnsi="Times New Roman" w:cs="Times New Roman"/>
              </w:rPr>
            </w:pPr>
            <w:r w:rsidRPr="001709DB">
              <w:rPr>
                <w:rFonts w:ascii="Times New Roman" w:hAnsi="Times New Roman" w:cs="Times New Roman"/>
              </w:rPr>
              <w:lastRenderedPageBreak/>
              <w:t>4.</w:t>
            </w:r>
          </w:p>
        </w:tc>
        <w:tc>
          <w:tcPr>
            <w:tcW w:w="1754" w:type="dxa"/>
          </w:tcPr>
          <w:p w:rsidR="00DF06ED" w:rsidRPr="001709DB" w:rsidRDefault="00C05307" w:rsidP="00DF06ED">
            <w:pPr>
              <w:rPr>
                <w:rFonts w:ascii="Times New Roman" w:hAnsi="Times New Roman" w:cs="Times New Roman"/>
              </w:rPr>
            </w:pPr>
            <w:r w:rsidRPr="001709DB">
              <w:rPr>
                <w:rFonts w:ascii="Times New Roman" w:hAnsi="Times New Roman" w:cs="Times New Roman"/>
                <w:color w:val="212529"/>
                <w:shd w:val="clear" w:color="auto" w:fill="FFFFFF"/>
              </w:rPr>
              <w:t>Food Science and Nutrition</w:t>
            </w:r>
          </w:p>
        </w:tc>
        <w:tc>
          <w:tcPr>
            <w:tcW w:w="1827" w:type="dxa"/>
          </w:tcPr>
          <w:p w:rsidR="00DF06ED" w:rsidRPr="001709DB" w:rsidRDefault="003816F2" w:rsidP="00DF06ED">
            <w:pPr>
              <w:rPr>
                <w:rFonts w:ascii="Times New Roman" w:hAnsi="Times New Roman" w:cs="Times New Roman"/>
              </w:rPr>
            </w:pPr>
            <w:r w:rsidRPr="001709DB">
              <w:rPr>
                <w:rFonts w:ascii="Times New Roman" w:hAnsi="Times New Roman" w:cs="Times New Roman"/>
              </w:rPr>
              <w:t>Noppon Choosri,</w:t>
            </w:r>
          </w:p>
          <w:p w:rsidR="003816F2" w:rsidRPr="001709DB" w:rsidRDefault="003816F2" w:rsidP="00DF06ED">
            <w:pPr>
              <w:rPr>
                <w:rFonts w:ascii="Times New Roman" w:hAnsi="Times New Roman" w:cs="Times New Roman"/>
              </w:rPr>
            </w:pPr>
            <w:r w:rsidRPr="001709DB">
              <w:rPr>
                <w:rFonts w:ascii="Times New Roman" w:hAnsi="Times New Roman" w:cs="Times New Roman"/>
              </w:rPr>
              <w:t>Sathita</w:t>
            </w:r>
          </w:p>
          <w:p w:rsidR="003816F2" w:rsidRPr="001709DB" w:rsidRDefault="003816F2" w:rsidP="00DF06ED">
            <w:pPr>
              <w:rPr>
                <w:rFonts w:ascii="Times New Roman" w:hAnsi="Times New Roman" w:cs="Times New Roman"/>
              </w:rPr>
            </w:pPr>
            <w:r w:rsidRPr="001709DB">
              <w:rPr>
                <w:rFonts w:ascii="Times New Roman" w:hAnsi="Times New Roman" w:cs="Times New Roman"/>
              </w:rPr>
              <w:t>Anprasertphon.</w:t>
            </w:r>
          </w:p>
        </w:tc>
        <w:tc>
          <w:tcPr>
            <w:tcW w:w="2327" w:type="dxa"/>
          </w:tcPr>
          <w:p w:rsidR="00DF06ED" w:rsidRPr="001709DB" w:rsidRDefault="00C05307" w:rsidP="00DF06ED">
            <w:pPr>
              <w:rPr>
                <w:rFonts w:ascii="Times New Roman" w:hAnsi="Times New Roman" w:cs="Times New Roman"/>
              </w:rPr>
            </w:pPr>
            <w:r w:rsidRPr="001709DB">
              <w:rPr>
                <w:rFonts w:ascii="Times New Roman" w:hAnsi="Times New Roman" w:cs="Times New Roman"/>
                <w:color w:val="212529"/>
                <w:shd w:val="clear" w:color="auto" w:fill="FFFFFF"/>
              </w:rPr>
              <w:t>Journal of Food Science and Nutrition is a multifaceted, an open access, scholarly journal that aims to publish scientific manuscripts based on food science, its application in the development of new dietary supplements, standardization of dietary regimes as well as finding solution for the growing concern of malnutrition and its adverse health implications.</w:t>
            </w:r>
          </w:p>
        </w:tc>
        <w:tc>
          <w:tcPr>
            <w:tcW w:w="1621" w:type="dxa"/>
          </w:tcPr>
          <w:p w:rsidR="00DF06ED" w:rsidRPr="001709DB" w:rsidRDefault="00C05307" w:rsidP="003816F2">
            <w:pPr>
              <w:rPr>
                <w:rFonts w:ascii="Times New Roman" w:hAnsi="Times New Roman" w:cs="Times New Roman"/>
              </w:rPr>
            </w:pPr>
            <w:r w:rsidRPr="001709DB">
              <w:rPr>
                <w:rFonts w:ascii="Times New Roman" w:hAnsi="Times New Roman" w:cs="Times New Roman"/>
                <w:color w:val="212529"/>
                <w:shd w:val="clear" w:color="auto" w:fill="FFFFFF"/>
              </w:rPr>
              <w:t xml:space="preserve">The Journal of Food Science and Nutrition is an interdisciplinary journal that incorporates directly and indirectly related aspects of the food industry. </w:t>
            </w:r>
          </w:p>
        </w:tc>
      </w:tr>
      <w:tr w:rsidR="001709DB" w:rsidRPr="001709DB" w:rsidTr="00DF06ED">
        <w:tc>
          <w:tcPr>
            <w:tcW w:w="1713" w:type="dxa"/>
          </w:tcPr>
          <w:p w:rsidR="00DF06ED" w:rsidRPr="001709DB" w:rsidRDefault="00C05307" w:rsidP="00DF06ED">
            <w:pPr>
              <w:rPr>
                <w:rFonts w:ascii="Times New Roman" w:hAnsi="Times New Roman" w:cs="Times New Roman"/>
              </w:rPr>
            </w:pPr>
            <w:r w:rsidRPr="001709DB">
              <w:rPr>
                <w:rFonts w:ascii="Times New Roman" w:hAnsi="Times New Roman" w:cs="Times New Roman"/>
              </w:rPr>
              <w:t>5.</w:t>
            </w:r>
          </w:p>
        </w:tc>
        <w:tc>
          <w:tcPr>
            <w:tcW w:w="1754" w:type="dxa"/>
          </w:tcPr>
          <w:p w:rsidR="00DF06ED" w:rsidRPr="001709DB" w:rsidRDefault="003816F2" w:rsidP="00DF06ED">
            <w:pPr>
              <w:rPr>
                <w:rFonts w:ascii="Times New Roman" w:hAnsi="Times New Roman" w:cs="Times New Roman"/>
                <w:b/>
              </w:rPr>
            </w:pPr>
            <w:r w:rsidRPr="001709DB">
              <w:rPr>
                <w:rStyle w:val="Strong"/>
                <w:rFonts w:ascii="Times New Roman" w:hAnsi="Times New Roman" w:cs="Times New Roman"/>
                <w:b w:val="0"/>
                <w:color w:val="2E2E2E"/>
                <w:shd w:val="clear" w:color="auto" w:fill="FFFFFF"/>
              </w:rPr>
              <w:t>Clinical Nutrition &amp; Dietetics</w:t>
            </w:r>
          </w:p>
        </w:tc>
        <w:tc>
          <w:tcPr>
            <w:tcW w:w="1827" w:type="dxa"/>
          </w:tcPr>
          <w:p w:rsidR="00DF06ED" w:rsidRPr="001709DB" w:rsidRDefault="003816F2" w:rsidP="00DF06ED">
            <w:pPr>
              <w:rPr>
                <w:rFonts w:ascii="Times New Roman" w:hAnsi="Times New Roman" w:cs="Times New Roman"/>
                <w:b/>
              </w:rPr>
            </w:pPr>
            <w:r w:rsidRPr="001709DB">
              <w:rPr>
                <w:rFonts w:ascii="Times New Roman" w:hAnsi="Times New Roman" w:cs="Times New Roman"/>
                <w:color w:val="2E2E2E"/>
                <w:shd w:val="clear" w:color="auto" w:fill="FFFFFF"/>
              </w:rPr>
              <w:t>Safia Elramli</w:t>
            </w:r>
          </w:p>
        </w:tc>
        <w:tc>
          <w:tcPr>
            <w:tcW w:w="2327" w:type="dxa"/>
          </w:tcPr>
          <w:p w:rsidR="00DF06ED" w:rsidRPr="001709DB" w:rsidRDefault="003816F2" w:rsidP="00171633">
            <w:pPr>
              <w:rPr>
                <w:rFonts w:ascii="Times New Roman" w:hAnsi="Times New Roman" w:cs="Times New Roman"/>
              </w:rPr>
            </w:pPr>
            <w:r w:rsidRPr="001709DB">
              <w:rPr>
                <w:rStyle w:val="Strong"/>
                <w:rFonts w:ascii="Times New Roman" w:hAnsi="Times New Roman" w:cs="Times New Roman"/>
                <w:color w:val="2E2E2E"/>
                <w:shd w:val="clear" w:color="auto" w:fill="FFFFFF"/>
              </w:rPr>
              <w:t>Journal of Clinical Nutrition &amp; Dietetics</w:t>
            </w:r>
            <w:r w:rsidRPr="001709DB">
              <w:rPr>
                <w:rFonts w:ascii="Times New Roman" w:hAnsi="Times New Roman" w:cs="Times New Roman"/>
                <w:color w:val="2E2E2E"/>
                <w:shd w:val="clear" w:color="auto" w:fill="FFFFFF"/>
              </w:rPr>
              <w:t xml:space="preserve"> is an open access which publishes articles after thorough peer review process. This journal is highly useful to nutritionists, dietitians, medical students and a resource for clinical practice, as it is clearly describes the essential scientific information on </w:t>
            </w:r>
            <w:r w:rsidRPr="001709DB">
              <w:rPr>
                <w:rFonts w:ascii="Times New Roman" w:hAnsi="Times New Roman" w:cs="Times New Roman"/>
                <w:color w:val="2E2E2E"/>
                <w:shd w:val="clear" w:color="auto" w:fill="FFFFFF"/>
              </w:rPr>
              <w:lastRenderedPageBreak/>
              <w:t>medical nutrition, nutritional assessment as well as meta</w:t>
            </w:r>
            <w:r w:rsidR="00171633">
              <w:rPr>
                <w:rFonts w:ascii="Times New Roman" w:hAnsi="Times New Roman" w:cs="Times New Roman"/>
                <w:color w:val="2E2E2E"/>
                <w:shd w:val="clear" w:color="auto" w:fill="FFFFFF"/>
              </w:rPr>
              <w:t>bolic study related to diseases</w:t>
            </w:r>
            <w:r w:rsidRPr="001709DB">
              <w:rPr>
                <w:rFonts w:ascii="Times New Roman" w:hAnsi="Times New Roman" w:cs="Times New Roman"/>
                <w:color w:val="2E2E2E"/>
                <w:shd w:val="clear" w:color="auto" w:fill="FFFFFF"/>
              </w:rPr>
              <w:t>.</w:t>
            </w:r>
          </w:p>
        </w:tc>
        <w:tc>
          <w:tcPr>
            <w:tcW w:w="1621" w:type="dxa"/>
          </w:tcPr>
          <w:p w:rsidR="00DF06ED" w:rsidRPr="001709DB" w:rsidRDefault="003816F2" w:rsidP="00DF06ED">
            <w:pPr>
              <w:rPr>
                <w:rFonts w:ascii="Times New Roman" w:hAnsi="Times New Roman" w:cs="Times New Roman"/>
              </w:rPr>
            </w:pPr>
            <w:hyperlink r:id="rId9" w:history="1">
              <w:r w:rsidRPr="00171633">
                <w:rPr>
                  <w:rStyle w:val="Hyperlink"/>
                  <w:rFonts w:ascii="Times New Roman" w:hAnsi="Times New Roman" w:cs="Times New Roman"/>
                  <w:color w:val="auto"/>
                  <w:u w:val="none"/>
                  <w:shd w:val="clear" w:color="auto" w:fill="FFFFFF"/>
                </w:rPr>
                <w:t>Journal of Food Processing &amp; Technology</w:t>
              </w:r>
            </w:hyperlink>
            <w:r w:rsidRPr="00171633">
              <w:rPr>
                <w:rFonts w:ascii="Times New Roman" w:hAnsi="Times New Roman" w:cs="Times New Roman"/>
                <w:shd w:val="clear" w:color="auto" w:fill="FFFFFF"/>
              </w:rPr>
              <w:t>, </w:t>
            </w:r>
            <w:hyperlink r:id="rId10" w:history="1">
              <w:r w:rsidRPr="00171633">
                <w:rPr>
                  <w:rStyle w:val="Hyperlink"/>
                  <w:rFonts w:ascii="Times New Roman" w:hAnsi="Times New Roman" w:cs="Times New Roman"/>
                  <w:color w:val="auto"/>
                  <w:u w:val="none"/>
                  <w:shd w:val="clear" w:color="auto" w:fill="FFFFFF"/>
                </w:rPr>
                <w:t>Journal of Nutrition &amp; Food Sciences</w:t>
              </w:r>
            </w:hyperlink>
            <w:r w:rsidRPr="00171633">
              <w:rPr>
                <w:rFonts w:ascii="Times New Roman" w:hAnsi="Times New Roman" w:cs="Times New Roman"/>
                <w:shd w:val="clear" w:color="auto" w:fill="FFFFFF"/>
              </w:rPr>
              <w:t>, </w:t>
            </w:r>
            <w:hyperlink r:id="rId11" w:history="1">
              <w:r w:rsidRPr="00171633">
                <w:rPr>
                  <w:rStyle w:val="Hyperlink"/>
                  <w:rFonts w:ascii="Times New Roman" w:hAnsi="Times New Roman" w:cs="Times New Roman"/>
                  <w:color w:val="auto"/>
                  <w:u w:val="none"/>
                  <w:shd w:val="clear" w:color="auto" w:fill="FFFFFF"/>
                </w:rPr>
                <w:t>Natural Products Chemistry &amp; Research</w:t>
              </w:r>
            </w:hyperlink>
            <w:r w:rsidRPr="00171633">
              <w:rPr>
                <w:rFonts w:ascii="Times New Roman" w:hAnsi="Times New Roman" w:cs="Times New Roman"/>
                <w:shd w:val="clear" w:color="auto" w:fill="FFFFFF"/>
              </w:rPr>
              <w:t>, </w:t>
            </w:r>
            <w:hyperlink r:id="rId12" w:history="1">
              <w:r w:rsidRPr="00171633">
                <w:rPr>
                  <w:rStyle w:val="Hyperlink"/>
                  <w:rFonts w:ascii="Times New Roman" w:hAnsi="Times New Roman" w:cs="Times New Roman"/>
                  <w:color w:val="auto"/>
                  <w:u w:val="none"/>
                  <w:shd w:val="clear" w:color="auto" w:fill="FFFFFF"/>
                </w:rPr>
                <w:t>Journal of Food and Nutritional Disorders</w:t>
              </w:r>
            </w:hyperlink>
            <w:r w:rsidRPr="001709DB">
              <w:rPr>
                <w:rFonts w:ascii="Times New Roman" w:hAnsi="Times New Roman" w:cs="Times New Roman"/>
                <w:color w:val="2E2E2E"/>
                <w:shd w:val="clear" w:color="auto" w:fill="FFFFFF"/>
              </w:rPr>
              <w:t xml:space="preserve">, International Journal of Food Microbiology, Journal of Microbiology, Biotechnology and </w:t>
            </w:r>
            <w:r w:rsidRPr="001709DB">
              <w:rPr>
                <w:rFonts w:ascii="Times New Roman" w:hAnsi="Times New Roman" w:cs="Times New Roman"/>
                <w:color w:val="2E2E2E"/>
                <w:shd w:val="clear" w:color="auto" w:fill="FFFFFF"/>
              </w:rPr>
              <w:lastRenderedPageBreak/>
              <w:t>Food Sciences, Journal of Applied Microbiology, Current Opinion in Biotechnology.</w:t>
            </w:r>
          </w:p>
        </w:tc>
      </w:tr>
      <w:tr w:rsidR="001709DB" w:rsidRPr="001709DB" w:rsidTr="00DF06ED">
        <w:tc>
          <w:tcPr>
            <w:tcW w:w="1713" w:type="dxa"/>
          </w:tcPr>
          <w:p w:rsidR="00DF06ED" w:rsidRPr="001709DB" w:rsidRDefault="003816F2" w:rsidP="00DF06ED">
            <w:pPr>
              <w:rPr>
                <w:rFonts w:ascii="Times New Roman" w:hAnsi="Times New Roman" w:cs="Times New Roman"/>
              </w:rPr>
            </w:pPr>
            <w:r w:rsidRPr="001709DB">
              <w:rPr>
                <w:rFonts w:ascii="Times New Roman" w:hAnsi="Times New Roman" w:cs="Times New Roman"/>
              </w:rPr>
              <w:lastRenderedPageBreak/>
              <w:t>6.</w:t>
            </w:r>
          </w:p>
        </w:tc>
        <w:tc>
          <w:tcPr>
            <w:tcW w:w="1754" w:type="dxa"/>
          </w:tcPr>
          <w:p w:rsidR="00DF06ED" w:rsidRPr="001709DB" w:rsidRDefault="003816F2" w:rsidP="00DF06ED">
            <w:pPr>
              <w:rPr>
                <w:rFonts w:ascii="Times New Roman" w:hAnsi="Times New Roman" w:cs="Times New Roman"/>
              </w:rPr>
            </w:pPr>
            <w:r w:rsidRPr="001709DB">
              <w:rPr>
                <w:rFonts w:ascii="Times New Roman" w:hAnsi="Times New Roman" w:cs="Times New Roman"/>
              </w:rPr>
              <w:t>Artificial Intelligence in Nutrients Science Research</w:t>
            </w:r>
          </w:p>
        </w:tc>
        <w:tc>
          <w:tcPr>
            <w:tcW w:w="1827" w:type="dxa"/>
          </w:tcPr>
          <w:p w:rsidR="00DF06ED" w:rsidRPr="001709DB" w:rsidRDefault="003816F2" w:rsidP="00DF06ED">
            <w:pPr>
              <w:rPr>
                <w:rFonts w:ascii="Times New Roman" w:hAnsi="Times New Roman" w:cs="Times New Roman"/>
              </w:rPr>
            </w:pPr>
            <w:r w:rsidRPr="001709DB">
              <w:rPr>
                <w:rFonts w:ascii="Times New Roman" w:hAnsi="Times New Roman" w:cs="Times New Roman"/>
              </w:rPr>
              <w:t xml:space="preserve">Jarosław </w:t>
            </w:r>
            <w:proofErr w:type="spellStart"/>
            <w:r w:rsidRPr="001709DB">
              <w:rPr>
                <w:rFonts w:ascii="Times New Roman" w:hAnsi="Times New Roman" w:cs="Times New Roman"/>
              </w:rPr>
              <w:t>Sak</w:t>
            </w:r>
            <w:proofErr w:type="spellEnd"/>
            <w:r w:rsidRPr="001709DB">
              <w:rPr>
                <w:rFonts w:ascii="Times New Roman" w:hAnsi="Times New Roman" w:cs="Times New Roman"/>
              </w:rPr>
              <w:t xml:space="preserve">, Magdalena Suchodolska </w:t>
            </w:r>
          </w:p>
        </w:tc>
        <w:tc>
          <w:tcPr>
            <w:tcW w:w="2327" w:type="dxa"/>
          </w:tcPr>
          <w:p w:rsidR="00DF06ED" w:rsidRPr="001709DB" w:rsidRDefault="003816F2" w:rsidP="00171633">
            <w:pPr>
              <w:rPr>
                <w:rFonts w:ascii="Times New Roman" w:hAnsi="Times New Roman" w:cs="Times New Roman"/>
              </w:rPr>
            </w:pPr>
            <w:r w:rsidRPr="001709DB">
              <w:rPr>
                <w:rFonts w:ascii="Times New Roman" w:hAnsi="Times New Roman" w:cs="Times New Roman"/>
              </w:rPr>
              <w:t xml:space="preserve">Artificial intelligence (AI) as a branch of computer science, the purpose of which is to imitate thought processes, learning abilities and knowledge management, finds more and more applications in experimental and clinical medicine. In recent decades, there has been an expansion of AI applications in biomedical sciences. </w:t>
            </w:r>
          </w:p>
        </w:tc>
        <w:tc>
          <w:tcPr>
            <w:tcW w:w="1621" w:type="dxa"/>
          </w:tcPr>
          <w:p w:rsidR="00DF06ED" w:rsidRPr="001709DB" w:rsidRDefault="00DF06ED" w:rsidP="00DF06ED">
            <w:pPr>
              <w:rPr>
                <w:rFonts w:ascii="Times New Roman" w:hAnsi="Times New Roman" w:cs="Times New Roman"/>
              </w:rPr>
            </w:pPr>
          </w:p>
        </w:tc>
      </w:tr>
      <w:tr w:rsidR="001709DB" w:rsidRPr="001709DB" w:rsidTr="00DF06ED">
        <w:tc>
          <w:tcPr>
            <w:tcW w:w="1713" w:type="dxa"/>
          </w:tcPr>
          <w:p w:rsidR="00DF06ED" w:rsidRPr="001709DB" w:rsidRDefault="00890EE2" w:rsidP="00DF06ED">
            <w:pPr>
              <w:rPr>
                <w:rFonts w:ascii="Times New Roman" w:hAnsi="Times New Roman" w:cs="Times New Roman"/>
              </w:rPr>
            </w:pPr>
            <w:r w:rsidRPr="001709DB">
              <w:rPr>
                <w:rFonts w:ascii="Times New Roman" w:hAnsi="Times New Roman" w:cs="Times New Roman"/>
              </w:rPr>
              <w:t>7.</w:t>
            </w:r>
          </w:p>
        </w:tc>
        <w:tc>
          <w:tcPr>
            <w:tcW w:w="1754" w:type="dxa"/>
          </w:tcPr>
          <w:p w:rsidR="00DF06ED" w:rsidRPr="001709DB" w:rsidRDefault="00890EE2" w:rsidP="00DF06ED">
            <w:pPr>
              <w:rPr>
                <w:rFonts w:ascii="Times New Roman" w:hAnsi="Times New Roman" w:cs="Times New Roman"/>
              </w:rPr>
            </w:pPr>
            <w:r w:rsidRPr="001709DB">
              <w:rPr>
                <w:rFonts w:ascii="Times New Roman" w:hAnsi="Times New Roman" w:cs="Times New Roman"/>
              </w:rPr>
              <w:t>Deep Learning-based Food Recognition System for Dietary</w:t>
            </w:r>
          </w:p>
        </w:tc>
        <w:tc>
          <w:tcPr>
            <w:tcW w:w="1827" w:type="dxa"/>
          </w:tcPr>
          <w:p w:rsidR="00DF06ED" w:rsidRPr="001709DB" w:rsidRDefault="00890EE2" w:rsidP="00DF06ED">
            <w:pPr>
              <w:rPr>
                <w:rFonts w:ascii="Times New Roman" w:hAnsi="Times New Roman" w:cs="Times New Roman"/>
              </w:rPr>
            </w:pPr>
            <w:r w:rsidRPr="001709DB">
              <w:rPr>
                <w:rFonts w:ascii="Times New Roman" w:hAnsi="Times New Roman" w:cs="Times New Roman"/>
              </w:rPr>
              <w:t>Chang Liu, Yu Cao, Senior Member, IEEE, Yan Luo, Member, IEEE, Guanling Chen, Member, IEEE, Vinod Vokkarane, Senior Member, IEEE, Yunsheng Ma, Songqing Chen, Member, IEEE, Peng Hou</w:t>
            </w:r>
          </w:p>
        </w:tc>
        <w:tc>
          <w:tcPr>
            <w:tcW w:w="2327" w:type="dxa"/>
          </w:tcPr>
          <w:p w:rsidR="00DF06ED" w:rsidRPr="001709DB" w:rsidRDefault="00890EE2" w:rsidP="00171633">
            <w:pPr>
              <w:rPr>
                <w:rFonts w:ascii="Times New Roman" w:hAnsi="Times New Roman" w:cs="Times New Roman"/>
              </w:rPr>
            </w:pPr>
            <w:r w:rsidRPr="001709DB">
              <w:rPr>
                <w:rFonts w:ascii="Times New Roman" w:hAnsi="Times New Roman" w:cs="Times New Roman"/>
              </w:rPr>
              <w:t>Literature has indicated that accurate dietary assessment is very important for assessing the effectiveness of weight loss interventions. However, most of the existing dietary assessment methods rely on memory. development and system design</w:t>
            </w:r>
          </w:p>
        </w:tc>
        <w:tc>
          <w:tcPr>
            <w:tcW w:w="1621" w:type="dxa"/>
          </w:tcPr>
          <w:p w:rsidR="00DF06ED" w:rsidRPr="001709DB" w:rsidRDefault="00890EE2" w:rsidP="00DF06ED">
            <w:pPr>
              <w:rPr>
                <w:rFonts w:ascii="Times New Roman" w:hAnsi="Times New Roman" w:cs="Times New Roman"/>
              </w:rPr>
            </w:pPr>
            <w:r w:rsidRPr="001709DB">
              <w:rPr>
                <w:rFonts w:ascii="Times New Roman" w:hAnsi="Times New Roman" w:cs="Times New Roman"/>
              </w:rPr>
              <w:t>In this paper, we aimed to develop a practical deep learning based food recognition system for dietary assessment within the edge computing service infrastructure. The key technique innovation in this paper includes: the new deep learning-based food image recognition algorithms and the proposed real-time food recognition system employing edge computing service paradigm</w:t>
            </w:r>
          </w:p>
        </w:tc>
      </w:tr>
      <w:tr w:rsidR="00890EE2" w:rsidRPr="001709DB" w:rsidTr="00DF06ED">
        <w:tc>
          <w:tcPr>
            <w:tcW w:w="1713" w:type="dxa"/>
          </w:tcPr>
          <w:p w:rsidR="00890EE2" w:rsidRPr="001709DB" w:rsidRDefault="00890EE2" w:rsidP="00DF06ED">
            <w:pPr>
              <w:rPr>
                <w:rFonts w:ascii="Times New Roman" w:hAnsi="Times New Roman" w:cs="Times New Roman"/>
              </w:rPr>
            </w:pPr>
            <w:r w:rsidRPr="001709DB">
              <w:rPr>
                <w:rFonts w:ascii="Times New Roman" w:hAnsi="Times New Roman" w:cs="Times New Roman"/>
              </w:rPr>
              <w:t>8.</w:t>
            </w:r>
          </w:p>
        </w:tc>
        <w:tc>
          <w:tcPr>
            <w:tcW w:w="1754" w:type="dxa"/>
          </w:tcPr>
          <w:p w:rsidR="00890EE2" w:rsidRPr="001709DB" w:rsidRDefault="00890EE2" w:rsidP="00DF06ED">
            <w:pPr>
              <w:rPr>
                <w:rFonts w:ascii="Times New Roman" w:hAnsi="Times New Roman" w:cs="Times New Roman"/>
              </w:rPr>
            </w:pPr>
            <w:r w:rsidRPr="001709DB">
              <w:rPr>
                <w:rFonts w:ascii="Times New Roman" w:hAnsi="Times New Roman" w:cs="Times New Roman"/>
                <w:bCs/>
                <w:color w:val="2A2A2A"/>
                <w:shd w:val="clear" w:color="auto" w:fill="FFFFFF"/>
              </w:rPr>
              <w:t>Vitamin C and scar strength: analysis of a historical trial and implications for collagen-related pathologies</w:t>
            </w:r>
          </w:p>
        </w:tc>
        <w:tc>
          <w:tcPr>
            <w:tcW w:w="1827" w:type="dxa"/>
          </w:tcPr>
          <w:p w:rsidR="00890EE2" w:rsidRPr="001709DB" w:rsidRDefault="00890EE2" w:rsidP="00DF06ED">
            <w:pPr>
              <w:rPr>
                <w:rFonts w:ascii="Times New Roman" w:hAnsi="Times New Roman" w:cs="Times New Roman"/>
              </w:rPr>
            </w:pPr>
            <w:r w:rsidRPr="001709DB">
              <w:rPr>
                <w:rFonts w:ascii="Times New Roman" w:hAnsi="Times New Roman" w:cs="Times New Roman"/>
              </w:rPr>
              <w:t>Philippe P Hujoel,</w:t>
            </w:r>
          </w:p>
          <w:p w:rsidR="00890EE2" w:rsidRPr="001709DB" w:rsidRDefault="00890EE2" w:rsidP="00DF06ED">
            <w:pPr>
              <w:rPr>
                <w:rFonts w:ascii="Times New Roman" w:hAnsi="Times New Roman" w:cs="Times New Roman"/>
              </w:rPr>
            </w:pPr>
            <w:r w:rsidRPr="001709DB">
              <w:rPr>
                <w:rFonts w:ascii="Times New Roman" w:hAnsi="Times New Roman" w:cs="Times New Roman"/>
              </w:rPr>
              <w:t>Margaux L A Hujoel</w:t>
            </w:r>
          </w:p>
        </w:tc>
        <w:tc>
          <w:tcPr>
            <w:tcW w:w="2327" w:type="dxa"/>
          </w:tcPr>
          <w:p w:rsidR="00890EE2" w:rsidRPr="001709DB" w:rsidRDefault="00890EE2" w:rsidP="00DF06ED">
            <w:pPr>
              <w:rPr>
                <w:rFonts w:ascii="Times New Roman" w:hAnsi="Times New Roman" w:cs="Times New Roman"/>
              </w:rPr>
            </w:pPr>
            <w:r w:rsidRPr="001709DB">
              <w:rPr>
                <w:rFonts w:ascii="Times New Roman" w:hAnsi="Times New Roman" w:cs="Times New Roman"/>
                <w:color w:val="2A2A2A"/>
                <w:shd w:val="clear" w:color="auto" w:fill="EFF2F7"/>
              </w:rPr>
              <w:t xml:space="preserve">A double-blind controlled trial initiated in 1944 has led to the common narrative that a 10-mg daily vitamin C intake is adequate to prevent and treat impaired wound healing, and by inference, other </w:t>
            </w:r>
            <w:r w:rsidRPr="001709DB">
              <w:rPr>
                <w:rFonts w:ascii="Times New Roman" w:hAnsi="Times New Roman" w:cs="Times New Roman"/>
                <w:color w:val="2A2A2A"/>
                <w:shd w:val="clear" w:color="auto" w:fill="EFF2F7"/>
              </w:rPr>
              <w:lastRenderedPageBreak/>
              <w:t>collagen-related diseases such as heart disease or stroke. The WHO relies on this narrative to set the recommended nutrient intake for vitamin C.</w:t>
            </w:r>
          </w:p>
        </w:tc>
        <w:tc>
          <w:tcPr>
            <w:tcW w:w="1621" w:type="dxa"/>
          </w:tcPr>
          <w:p w:rsidR="00890EE2" w:rsidRPr="001709DB" w:rsidRDefault="00890EE2" w:rsidP="00DF06ED">
            <w:pPr>
              <w:rPr>
                <w:rFonts w:ascii="Times New Roman" w:hAnsi="Times New Roman" w:cs="Times New Roman"/>
              </w:rPr>
            </w:pPr>
            <w:r w:rsidRPr="001709DB">
              <w:rPr>
                <w:rFonts w:ascii="Times New Roman" w:hAnsi="Times New Roman" w:cs="Times New Roman"/>
                <w:color w:val="2A2A2A"/>
                <w:shd w:val="clear" w:color="auto" w:fill="FFFFFF"/>
              </w:rPr>
              <w:lastRenderedPageBreak/>
              <w:t xml:space="preserve">Vitamin C plays an important role in the synthesis of collagen, which constitutes </w:t>
            </w:r>
            <w:r w:rsidRPr="001709DB">
              <w:rPr>
                <w:rFonts w:ascii="Cambria Math" w:hAnsi="Cambria Math" w:cs="Cambria Math"/>
                <w:color w:val="2A2A2A"/>
                <w:shd w:val="clear" w:color="auto" w:fill="FFFFFF"/>
              </w:rPr>
              <w:t>∼</w:t>
            </w:r>
            <w:r w:rsidRPr="001709DB">
              <w:rPr>
                <w:rFonts w:ascii="Times New Roman" w:hAnsi="Times New Roman" w:cs="Times New Roman"/>
                <w:color w:val="2A2A2A"/>
                <w:shd w:val="clear" w:color="auto" w:fill="FFFFFF"/>
              </w:rPr>
              <w:t>30% to 40% of the whole-body protein </w:t>
            </w:r>
            <w:r w:rsidR="001709DB" w:rsidRPr="001709DB">
              <w:rPr>
                <w:rFonts w:ascii="Times New Roman" w:hAnsi="Times New Roman" w:cs="Times New Roman"/>
                <w:color w:val="2A2A2A"/>
                <w:shd w:val="clear" w:color="auto" w:fill="FFFFFF"/>
              </w:rPr>
              <w:t xml:space="preserve">content. </w:t>
            </w:r>
            <w:r w:rsidRPr="001709DB">
              <w:rPr>
                <w:rFonts w:ascii="Times New Roman" w:hAnsi="Times New Roman" w:cs="Times New Roman"/>
                <w:color w:val="2A2A2A"/>
                <w:shd w:val="clear" w:color="auto" w:fill="FFFFFF"/>
              </w:rPr>
              <w:t xml:space="preserve">A lack of vitamin C in the diet leads to </w:t>
            </w:r>
            <w:r w:rsidRPr="001709DB">
              <w:rPr>
                <w:rFonts w:ascii="Times New Roman" w:hAnsi="Times New Roman" w:cs="Times New Roman"/>
                <w:color w:val="2A2A2A"/>
                <w:shd w:val="clear" w:color="auto" w:fill="FFFFFF"/>
              </w:rPr>
              <w:lastRenderedPageBreak/>
              <w:t>scurvy and it is widely reported that scurvy's main clinical manifestations are collagen-related diseases—pathologies due to the lack of vitamin C for normal collagen metabolism</w:t>
            </w:r>
            <w:r w:rsidRPr="001709DB">
              <w:rPr>
                <w:rFonts w:ascii="Times New Roman" w:hAnsi="Times New Roman" w:cs="Times New Roman"/>
                <w:color w:val="2A2A2A"/>
                <w:shd w:val="clear" w:color="auto" w:fill="FFFFFF"/>
              </w:rPr>
              <w:t>.</w:t>
            </w:r>
          </w:p>
        </w:tc>
      </w:tr>
      <w:tr w:rsidR="00890EE2" w:rsidRPr="001709DB" w:rsidTr="00DF06ED">
        <w:tc>
          <w:tcPr>
            <w:tcW w:w="1713" w:type="dxa"/>
          </w:tcPr>
          <w:p w:rsidR="00890EE2" w:rsidRPr="001709DB" w:rsidRDefault="00890EE2" w:rsidP="00DF06ED">
            <w:pPr>
              <w:rPr>
                <w:rFonts w:ascii="Times New Roman" w:hAnsi="Times New Roman" w:cs="Times New Roman"/>
              </w:rPr>
            </w:pPr>
            <w:r w:rsidRPr="001709DB">
              <w:rPr>
                <w:rFonts w:ascii="Times New Roman" w:hAnsi="Times New Roman" w:cs="Times New Roman"/>
              </w:rPr>
              <w:lastRenderedPageBreak/>
              <w:t>9.</w:t>
            </w:r>
          </w:p>
        </w:tc>
        <w:tc>
          <w:tcPr>
            <w:tcW w:w="1754" w:type="dxa"/>
          </w:tcPr>
          <w:p w:rsidR="00890EE2" w:rsidRPr="001709DB" w:rsidRDefault="00890EE2" w:rsidP="00DF06ED">
            <w:pPr>
              <w:rPr>
                <w:rFonts w:ascii="Times New Roman" w:hAnsi="Times New Roman" w:cs="Times New Roman"/>
              </w:rPr>
            </w:pPr>
            <w:r w:rsidRPr="001709DB">
              <w:rPr>
                <w:rFonts w:ascii="Times New Roman" w:hAnsi="Times New Roman" w:cs="Times New Roman"/>
                <w:color w:val="333333"/>
                <w:shd w:val="clear" w:color="auto" w:fill="FCFCFC"/>
              </w:rPr>
              <w:t>European Journal of Nutrition </w:t>
            </w:r>
          </w:p>
        </w:tc>
        <w:tc>
          <w:tcPr>
            <w:tcW w:w="1827" w:type="dxa"/>
          </w:tcPr>
          <w:p w:rsidR="00890EE2" w:rsidRPr="00890EE2" w:rsidRDefault="00890EE2" w:rsidP="00890EE2">
            <w:pPr>
              <w:numPr>
                <w:ilvl w:val="0"/>
                <w:numId w:val="1"/>
              </w:numPr>
              <w:shd w:val="clear" w:color="auto" w:fill="FCFCFC"/>
              <w:spacing w:before="100" w:beforeAutospacing="1" w:after="100" w:afterAutospacing="1"/>
              <w:ind w:left="0"/>
              <w:rPr>
                <w:rFonts w:ascii="Times New Roman" w:eastAsia="Times New Roman" w:hAnsi="Times New Roman" w:cs="Times New Roman"/>
                <w:color w:val="333333"/>
                <w:lang w:eastAsia="en-IN"/>
              </w:rPr>
            </w:pPr>
            <w:r w:rsidRPr="00890EE2">
              <w:rPr>
                <w:rFonts w:ascii="Times New Roman" w:eastAsia="Times New Roman" w:hAnsi="Times New Roman" w:cs="Times New Roman"/>
                <w:color w:val="333333"/>
                <w:lang w:eastAsia="en-IN"/>
              </w:rPr>
              <w:t>Bruce Griffin</w:t>
            </w:r>
          </w:p>
          <w:p w:rsidR="00890EE2" w:rsidRPr="001709DB" w:rsidRDefault="00890EE2" w:rsidP="00DF06ED">
            <w:pPr>
              <w:rPr>
                <w:rFonts w:ascii="Times New Roman" w:hAnsi="Times New Roman" w:cs="Times New Roman"/>
              </w:rPr>
            </w:pPr>
          </w:p>
        </w:tc>
        <w:tc>
          <w:tcPr>
            <w:tcW w:w="2327" w:type="dxa"/>
          </w:tcPr>
          <w:p w:rsidR="00890EE2" w:rsidRPr="001709DB" w:rsidRDefault="00E418AD" w:rsidP="00171633">
            <w:pPr>
              <w:rPr>
                <w:rFonts w:ascii="Times New Roman" w:hAnsi="Times New Roman" w:cs="Times New Roman"/>
              </w:rPr>
            </w:pPr>
            <w:r w:rsidRPr="001709DB">
              <w:rPr>
                <w:rFonts w:ascii="Times New Roman" w:hAnsi="Times New Roman" w:cs="Times New Roman"/>
                <w:color w:val="333333"/>
                <w:shd w:val="clear" w:color="auto" w:fill="FCFCFC"/>
              </w:rPr>
              <w:t xml:space="preserve">European Journal of Nutrition publishes original papers, reviews, and short communications in the nutritional sciences. Manuscripts published in European Journal of Nutrition provide current information on the impact of nutrients and non-nutrients on immunology and inflammation, gene expression, metabolism, chronic diseases, or carcinogenesis; or show a major focus on epidemiology, </w:t>
            </w:r>
          </w:p>
        </w:tc>
        <w:tc>
          <w:tcPr>
            <w:tcW w:w="1621" w:type="dxa"/>
          </w:tcPr>
          <w:p w:rsidR="00890EE2" w:rsidRPr="001709DB" w:rsidRDefault="00E418AD" w:rsidP="00171633">
            <w:pPr>
              <w:rPr>
                <w:rFonts w:ascii="Times New Roman" w:hAnsi="Times New Roman" w:cs="Times New Roman"/>
              </w:rPr>
            </w:pPr>
            <w:r w:rsidRPr="001709DB">
              <w:rPr>
                <w:rStyle w:val="Emphasis"/>
                <w:rFonts w:ascii="Times New Roman" w:hAnsi="Times New Roman" w:cs="Times New Roman"/>
                <w:color w:val="2E2E2E"/>
              </w:rPr>
              <w:t>Human Nutrition &amp; Metabolism</w:t>
            </w:r>
            <w:r w:rsidRPr="001709DB">
              <w:rPr>
                <w:rFonts w:ascii="Times New Roman" w:hAnsi="Times New Roman" w:cs="Times New Roman"/>
                <w:color w:val="2E2E2E"/>
              </w:rPr>
              <w:t xml:space="preserve"> is dedicated to stimulating and publishing research which focuses on the physiology and pathophysiology of nutrition and metabolism in humans. The journal publishes original papers, reviews, commentaries and opinion pieces in human nutritional and metabolic science to bridge the gap between preclinical and clinical work. </w:t>
            </w:r>
          </w:p>
        </w:tc>
      </w:tr>
      <w:tr w:rsidR="00890EE2" w:rsidRPr="001709DB" w:rsidTr="00DF06ED">
        <w:tc>
          <w:tcPr>
            <w:tcW w:w="1713" w:type="dxa"/>
          </w:tcPr>
          <w:p w:rsidR="00890EE2" w:rsidRPr="001709DB" w:rsidRDefault="00E418AD" w:rsidP="00DF06ED">
            <w:pPr>
              <w:rPr>
                <w:rFonts w:ascii="Times New Roman" w:hAnsi="Times New Roman" w:cs="Times New Roman"/>
              </w:rPr>
            </w:pPr>
            <w:r w:rsidRPr="001709DB">
              <w:rPr>
                <w:rFonts w:ascii="Times New Roman" w:hAnsi="Times New Roman" w:cs="Times New Roman"/>
              </w:rPr>
              <w:t>10.</w:t>
            </w:r>
          </w:p>
        </w:tc>
        <w:tc>
          <w:tcPr>
            <w:tcW w:w="1754" w:type="dxa"/>
          </w:tcPr>
          <w:p w:rsidR="00E418AD" w:rsidRPr="001709DB" w:rsidRDefault="00E418AD" w:rsidP="00E418AD">
            <w:pPr>
              <w:pStyle w:val="Heading3"/>
              <w:shd w:val="clear" w:color="auto" w:fill="FFFFFF"/>
              <w:spacing w:before="0"/>
              <w:textAlignment w:val="baseline"/>
              <w:rPr>
                <w:rFonts w:ascii="Times New Roman" w:hAnsi="Times New Roman" w:cs="Times New Roman"/>
                <w:bCs w:val="0"/>
                <w:color w:val="222222"/>
              </w:rPr>
            </w:pPr>
            <w:r w:rsidRPr="001709DB">
              <w:rPr>
                <w:rStyle w:val="Strong"/>
                <w:rFonts w:ascii="Times New Roman" w:hAnsi="Times New Roman" w:cs="Times New Roman"/>
                <w:bCs/>
                <w:color w:val="222222"/>
              </w:rPr>
              <w:t>Clinical Nutrition</w:t>
            </w:r>
          </w:p>
          <w:p w:rsidR="00890EE2" w:rsidRPr="001709DB" w:rsidRDefault="00890EE2" w:rsidP="00DF06ED">
            <w:pPr>
              <w:rPr>
                <w:rFonts w:ascii="Times New Roman" w:hAnsi="Times New Roman" w:cs="Times New Roman"/>
              </w:rPr>
            </w:pPr>
          </w:p>
        </w:tc>
        <w:tc>
          <w:tcPr>
            <w:tcW w:w="1827" w:type="dxa"/>
          </w:tcPr>
          <w:p w:rsidR="00890EE2" w:rsidRPr="001709DB" w:rsidRDefault="00E418AD" w:rsidP="00DF06ED">
            <w:pPr>
              <w:rPr>
                <w:rFonts w:ascii="Times New Roman" w:hAnsi="Times New Roman" w:cs="Times New Roman"/>
              </w:rPr>
            </w:pPr>
            <w:r w:rsidRPr="001709DB">
              <w:rPr>
                <w:rFonts w:ascii="Times New Roman" w:hAnsi="Times New Roman" w:cs="Times New Roman"/>
              </w:rPr>
              <w:t>Yuan,Lei Chen, Miao,Li,NaWe,Li Wan</w:t>
            </w:r>
          </w:p>
        </w:tc>
        <w:tc>
          <w:tcPr>
            <w:tcW w:w="2327" w:type="dxa"/>
          </w:tcPr>
          <w:p w:rsidR="00890EE2" w:rsidRPr="001709DB" w:rsidRDefault="00E418AD" w:rsidP="00DF06ED">
            <w:pPr>
              <w:rPr>
                <w:rFonts w:ascii="Times New Roman" w:hAnsi="Times New Roman" w:cs="Times New Roman"/>
              </w:rPr>
            </w:pPr>
            <w:r w:rsidRPr="001709DB">
              <w:rPr>
                <w:rFonts w:ascii="Times New Roman" w:hAnsi="Times New Roman" w:cs="Times New Roman"/>
              </w:rPr>
              <w:t>Clinical Nutrition publishes on nutritional and metabolic care and the relationship between nutrition and disease in basic science and clinical practice with a focus on those factors in acute and chronic diseases which have metabolic and nutritional implications. The Journal also publishes scientific works related to the development of new techniques and their application in the field of clinical nutrition.</w:t>
            </w:r>
          </w:p>
        </w:tc>
        <w:tc>
          <w:tcPr>
            <w:tcW w:w="1621" w:type="dxa"/>
          </w:tcPr>
          <w:p w:rsidR="00890EE2" w:rsidRPr="001709DB" w:rsidRDefault="00E418AD" w:rsidP="00DF06ED">
            <w:pPr>
              <w:rPr>
                <w:rFonts w:ascii="Times New Roman" w:hAnsi="Times New Roman" w:cs="Times New Roman"/>
              </w:rPr>
            </w:pPr>
            <w:r w:rsidRPr="001709DB">
              <w:rPr>
                <w:rFonts w:ascii="Times New Roman" w:hAnsi="Times New Roman" w:cs="Times New Roman"/>
                <w:color w:val="2E2E2E"/>
              </w:rPr>
              <w:t xml:space="preserve">The journal publishes guidelines, consensus statements, original articles, short communications, letters to the Editor and review papers on those factors in acute and chronic diseases, which have metabolic and nutritional implications. It also publishes scientific works related to the development of new techniques and their application in the field of clinical </w:t>
            </w:r>
            <w:r w:rsidRPr="001709DB">
              <w:rPr>
                <w:rFonts w:ascii="Times New Roman" w:hAnsi="Times New Roman" w:cs="Times New Roman"/>
                <w:color w:val="2E2E2E"/>
              </w:rPr>
              <w:lastRenderedPageBreak/>
              <w:t>nutrition.</w:t>
            </w:r>
          </w:p>
        </w:tc>
        <w:bookmarkStart w:id="0" w:name="_GoBack"/>
        <w:bookmarkEnd w:id="0"/>
      </w:tr>
    </w:tbl>
    <w:p w:rsidR="0095678C" w:rsidRPr="001709DB" w:rsidRDefault="0095678C" w:rsidP="00DF06ED">
      <w:pPr>
        <w:rPr>
          <w:rFonts w:ascii="Times New Roman" w:hAnsi="Times New Roman" w:cs="Times New Roman"/>
        </w:rPr>
      </w:pPr>
    </w:p>
    <w:sectPr w:rsidR="0095678C" w:rsidRPr="001709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3AA" w:rsidRDefault="000F63AA" w:rsidP="00890EE2">
      <w:pPr>
        <w:spacing w:after="0" w:line="240" w:lineRule="auto"/>
      </w:pPr>
      <w:r>
        <w:separator/>
      </w:r>
    </w:p>
  </w:endnote>
  <w:endnote w:type="continuationSeparator" w:id="0">
    <w:p w:rsidR="000F63AA" w:rsidRDefault="000F63AA" w:rsidP="00890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3AA" w:rsidRDefault="000F63AA" w:rsidP="00890EE2">
      <w:pPr>
        <w:spacing w:after="0" w:line="240" w:lineRule="auto"/>
      </w:pPr>
      <w:r>
        <w:separator/>
      </w:r>
    </w:p>
  </w:footnote>
  <w:footnote w:type="continuationSeparator" w:id="0">
    <w:p w:rsidR="000F63AA" w:rsidRDefault="000F63AA" w:rsidP="00890E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2FF9"/>
    <w:multiLevelType w:val="multilevel"/>
    <w:tmpl w:val="34E8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C5"/>
    <w:rsid w:val="000F63AA"/>
    <w:rsid w:val="001709DB"/>
    <w:rsid w:val="00171633"/>
    <w:rsid w:val="001B03C5"/>
    <w:rsid w:val="003816F2"/>
    <w:rsid w:val="00890EE2"/>
    <w:rsid w:val="0095678C"/>
    <w:rsid w:val="009B5599"/>
    <w:rsid w:val="00C05307"/>
    <w:rsid w:val="00DF06ED"/>
    <w:rsid w:val="00E418AD"/>
    <w:rsid w:val="00F52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06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52A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9B559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styleId="Emphasis">
    <w:name w:val="Emphasis"/>
    <w:basedOn w:val="DefaultParagraphFont"/>
    <w:uiPriority w:val="20"/>
    <w:qFormat/>
    <w:rsid w:val="00DF06ED"/>
    <w:rPr>
      <w:i/>
      <w:iCs/>
    </w:rPr>
  </w:style>
  <w:style w:type="character" w:customStyle="1" w:styleId="Heading1Char">
    <w:name w:val="Heading 1 Char"/>
    <w:basedOn w:val="DefaultParagraphFont"/>
    <w:link w:val="Heading1"/>
    <w:uiPriority w:val="9"/>
    <w:rsid w:val="00DF06E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F06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52AA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816F2"/>
    <w:rPr>
      <w:b/>
      <w:bCs/>
    </w:rPr>
  </w:style>
  <w:style w:type="character" w:styleId="Hyperlink">
    <w:name w:val="Hyperlink"/>
    <w:basedOn w:val="DefaultParagraphFont"/>
    <w:uiPriority w:val="99"/>
    <w:semiHidden/>
    <w:unhideWhenUsed/>
    <w:rsid w:val="003816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06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52A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9B559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styleId="Emphasis">
    <w:name w:val="Emphasis"/>
    <w:basedOn w:val="DefaultParagraphFont"/>
    <w:uiPriority w:val="20"/>
    <w:qFormat/>
    <w:rsid w:val="00DF06ED"/>
    <w:rPr>
      <w:i/>
      <w:iCs/>
    </w:rPr>
  </w:style>
  <w:style w:type="character" w:customStyle="1" w:styleId="Heading1Char">
    <w:name w:val="Heading 1 Char"/>
    <w:basedOn w:val="DefaultParagraphFont"/>
    <w:link w:val="Heading1"/>
    <w:uiPriority w:val="9"/>
    <w:rsid w:val="00DF06E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F06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52AA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816F2"/>
    <w:rPr>
      <w:b/>
      <w:bCs/>
    </w:rPr>
  </w:style>
  <w:style w:type="character" w:styleId="Hyperlink">
    <w:name w:val="Hyperlink"/>
    <w:basedOn w:val="DefaultParagraphFont"/>
    <w:uiPriority w:val="99"/>
    <w:semiHidden/>
    <w:unhideWhenUsed/>
    <w:rsid w:val="00381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5252">
      <w:bodyDiv w:val="1"/>
      <w:marLeft w:val="0"/>
      <w:marRight w:val="0"/>
      <w:marTop w:val="0"/>
      <w:marBottom w:val="0"/>
      <w:divBdr>
        <w:top w:val="none" w:sz="0" w:space="0" w:color="auto"/>
        <w:left w:val="none" w:sz="0" w:space="0" w:color="auto"/>
        <w:bottom w:val="none" w:sz="0" w:space="0" w:color="auto"/>
        <w:right w:val="none" w:sz="0" w:space="0" w:color="auto"/>
      </w:divBdr>
    </w:div>
    <w:div w:id="226885735">
      <w:bodyDiv w:val="1"/>
      <w:marLeft w:val="0"/>
      <w:marRight w:val="0"/>
      <w:marTop w:val="0"/>
      <w:marBottom w:val="0"/>
      <w:divBdr>
        <w:top w:val="none" w:sz="0" w:space="0" w:color="auto"/>
        <w:left w:val="none" w:sz="0" w:space="0" w:color="auto"/>
        <w:bottom w:val="none" w:sz="0" w:space="0" w:color="auto"/>
        <w:right w:val="none" w:sz="0" w:space="0" w:color="auto"/>
      </w:divBdr>
    </w:div>
    <w:div w:id="372579304">
      <w:bodyDiv w:val="1"/>
      <w:marLeft w:val="0"/>
      <w:marRight w:val="0"/>
      <w:marTop w:val="0"/>
      <w:marBottom w:val="0"/>
      <w:divBdr>
        <w:top w:val="none" w:sz="0" w:space="0" w:color="auto"/>
        <w:left w:val="none" w:sz="0" w:space="0" w:color="auto"/>
        <w:bottom w:val="none" w:sz="0" w:space="0" w:color="auto"/>
        <w:right w:val="none" w:sz="0" w:space="0" w:color="auto"/>
      </w:divBdr>
    </w:div>
    <w:div w:id="805512300">
      <w:bodyDiv w:val="1"/>
      <w:marLeft w:val="0"/>
      <w:marRight w:val="0"/>
      <w:marTop w:val="0"/>
      <w:marBottom w:val="0"/>
      <w:divBdr>
        <w:top w:val="none" w:sz="0" w:space="0" w:color="auto"/>
        <w:left w:val="none" w:sz="0" w:space="0" w:color="auto"/>
        <w:bottom w:val="none" w:sz="0" w:space="0" w:color="auto"/>
        <w:right w:val="none" w:sz="0" w:space="0" w:color="auto"/>
      </w:divBdr>
    </w:div>
    <w:div w:id="931622370">
      <w:bodyDiv w:val="1"/>
      <w:marLeft w:val="0"/>
      <w:marRight w:val="0"/>
      <w:marTop w:val="0"/>
      <w:marBottom w:val="0"/>
      <w:divBdr>
        <w:top w:val="none" w:sz="0" w:space="0" w:color="auto"/>
        <w:left w:val="none" w:sz="0" w:space="0" w:color="auto"/>
        <w:bottom w:val="none" w:sz="0" w:space="0" w:color="auto"/>
        <w:right w:val="none" w:sz="0" w:space="0" w:color="auto"/>
      </w:divBdr>
    </w:div>
    <w:div w:id="1220478852">
      <w:bodyDiv w:val="1"/>
      <w:marLeft w:val="0"/>
      <w:marRight w:val="0"/>
      <w:marTop w:val="0"/>
      <w:marBottom w:val="0"/>
      <w:divBdr>
        <w:top w:val="none" w:sz="0" w:space="0" w:color="auto"/>
        <w:left w:val="none" w:sz="0" w:space="0" w:color="auto"/>
        <w:bottom w:val="none" w:sz="0" w:space="0" w:color="auto"/>
        <w:right w:val="none" w:sz="0" w:space="0" w:color="auto"/>
      </w:divBdr>
    </w:div>
    <w:div w:id="1685671007">
      <w:bodyDiv w:val="1"/>
      <w:marLeft w:val="0"/>
      <w:marRight w:val="0"/>
      <w:marTop w:val="0"/>
      <w:marBottom w:val="0"/>
      <w:divBdr>
        <w:top w:val="none" w:sz="0" w:space="0" w:color="auto"/>
        <w:left w:val="none" w:sz="0" w:space="0" w:color="auto"/>
        <w:bottom w:val="none" w:sz="0" w:space="0" w:color="auto"/>
        <w:right w:val="none" w:sz="0" w:space="0" w:color="auto"/>
      </w:divBdr>
    </w:div>
    <w:div w:id="1702591541">
      <w:bodyDiv w:val="1"/>
      <w:marLeft w:val="0"/>
      <w:marRight w:val="0"/>
      <w:marTop w:val="0"/>
      <w:marBottom w:val="0"/>
      <w:divBdr>
        <w:top w:val="none" w:sz="0" w:space="0" w:color="auto"/>
        <w:left w:val="none" w:sz="0" w:space="0" w:color="auto"/>
        <w:bottom w:val="none" w:sz="0" w:space="0" w:color="auto"/>
        <w:right w:val="none" w:sz="0" w:space="0" w:color="auto"/>
      </w:divBdr>
    </w:div>
    <w:div w:id="1910915637">
      <w:bodyDiv w:val="1"/>
      <w:marLeft w:val="0"/>
      <w:marRight w:val="0"/>
      <w:marTop w:val="0"/>
      <w:marBottom w:val="0"/>
      <w:divBdr>
        <w:top w:val="none" w:sz="0" w:space="0" w:color="auto"/>
        <w:left w:val="none" w:sz="0" w:space="0" w:color="auto"/>
        <w:bottom w:val="none" w:sz="0" w:space="0" w:color="auto"/>
        <w:right w:val="none" w:sz="0" w:space="0" w:color="auto"/>
      </w:divBdr>
    </w:div>
    <w:div w:id="196596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citechnol.com/food-nutritional-disorder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sciencecentral.org/journals/natural-products-chemistry-research.php" TargetMode="External"/><Relationship Id="rId5" Type="http://schemas.openxmlformats.org/officeDocument/2006/relationships/settings" Target="settings.xml"/><Relationship Id="rId10" Type="http://schemas.openxmlformats.org/officeDocument/2006/relationships/hyperlink" Target="https://www.omicsonline.org/nutrition-food-sciences.php" TargetMode="External"/><Relationship Id="rId4" Type="http://schemas.microsoft.com/office/2007/relationships/stylesWithEffects" Target="stylesWithEffects.xml"/><Relationship Id="rId9" Type="http://schemas.openxmlformats.org/officeDocument/2006/relationships/hyperlink" Target="https://www.omicsonline.org/food-processing-technology.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8CDB2-7649-45C8-9F9F-A330944B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dc:description/>
  <cp:lastModifiedBy>SIVA KUMAR</cp:lastModifiedBy>
  <cp:revision>4</cp:revision>
  <dcterms:created xsi:type="dcterms:W3CDTF">2022-09-17T08:06:00Z</dcterms:created>
  <dcterms:modified xsi:type="dcterms:W3CDTF">2022-09-17T10:04:00Z</dcterms:modified>
</cp:coreProperties>
</file>