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ab/>
      </w:r>
      <w:r>
        <w:rPr>
          <w:rFonts w:hint="default" w:ascii="Times New Roman" w:hAnsi="Times New Roman" w:cs="Times New Roman"/>
          <w:b/>
          <w:bCs/>
          <w:sz w:val="40"/>
          <w:szCs w:val="40"/>
          <w:lang w:val="en-US"/>
        </w:rPr>
        <w:tab/>
      </w:r>
      <w:r>
        <w:rPr>
          <w:rFonts w:hint="default" w:ascii="Times New Roman" w:hAnsi="Times New Roman" w:cs="Times New Roman"/>
          <w:b/>
          <w:bCs/>
          <w:sz w:val="40"/>
          <w:szCs w:val="40"/>
          <w:lang w:val="en-US"/>
        </w:rPr>
        <w:t>IBM CLOUD SERVICES</w:t>
      </w:r>
    </w:p>
    <w:p>
      <w:pPr>
        <w:jc w:val="both"/>
        <w:rPr>
          <w:rFonts w:hint="default" w:ascii="Times New Roman" w:hAnsi="Times New Roman" w:cs="Times New Roman"/>
          <w:b/>
          <w:bCs/>
          <w:sz w:val="40"/>
          <w:szCs w:val="40"/>
          <w:lang w:val="en-US"/>
        </w:rPr>
      </w:pPr>
    </w:p>
    <w:tbl>
      <w:tblPr>
        <w:tblStyle w:val="4"/>
        <w:tblW w:w="93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hint="default" w:ascii="Times New Roman" w:hAnsi="Times New Roman" w:cs="Times New Roman"/>
              </w:rPr>
            </w:pPr>
            <w:r>
              <w:rPr>
                <w:rFonts w:hint="default" w:ascii="Times New Roman" w:hAnsi="Times New Roman" w:cs="Times New Roman"/>
              </w:rPr>
              <w:t>Date</w:t>
            </w:r>
          </w:p>
        </w:tc>
        <w:tc>
          <w:tcPr>
            <w:tcW w:w="4843" w:type="dxa"/>
          </w:tcPr>
          <w:p>
            <w:pPr>
              <w:spacing w:after="0" w:line="240" w:lineRule="auto"/>
              <w:rPr>
                <w:rFonts w:hint="default" w:ascii="Times New Roman" w:hAnsi="Times New Roman" w:cs="Times New Roman"/>
              </w:rPr>
            </w:pPr>
            <w:r>
              <w:rPr>
                <w:rFonts w:hint="default" w:ascii="Times New Roman" w:hAnsi="Times New Roman" w:cs="Times New Roman"/>
                <w:lang w:val="en-US"/>
              </w:rPr>
              <w:t xml:space="preserve">5 November </w:t>
            </w:r>
            <w:r>
              <w:rPr>
                <w:rFonts w:hint="default" w:ascii="Times New Roman" w:hAnsi="Times New Roman" w:cs="Times New Roman"/>
              </w:rPr>
              <w:t>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hint="default" w:ascii="Times New Roman" w:hAnsi="Times New Roman" w:cs="Times New Roman"/>
              </w:rPr>
            </w:pPr>
            <w:r>
              <w:rPr>
                <w:rFonts w:hint="default" w:ascii="Times New Roman" w:hAnsi="Times New Roman" w:cs="Times New Roman"/>
              </w:rPr>
              <w:t>Team ID</w:t>
            </w:r>
          </w:p>
        </w:tc>
        <w:tc>
          <w:tcPr>
            <w:tcW w:w="4843" w:type="dxa"/>
          </w:tcPr>
          <w:p>
            <w:pPr>
              <w:spacing w:after="0" w:line="240" w:lineRule="auto"/>
              <w:rPr>
                <w:rFonts w:hint="default" w:ascii="Times New Roman" w:hAnsi="Times New Roman" w:cs="Times New Roman"/>
                <w:lang w:val="en-US"/>
              </w:rPr>
            </w:pPr>
            <w:r>
              <w:rPr>
                <w:rFonts w:hint="default" w:ascii="Times New Roman" w:hAnsi="Times New Roman" w:cs="Times New Roman"/>
              </w:rPr>
              <w:t>PNT2022TMI</w:t>
            </w:r>
            <w:r>
              <w:rPr>
                <w:rFonts w:hint="default" w:ascii="Times New Roman" w:hAnsi="Times New Roman" w:cs="Times New Roman"/>
                <w:lang w:val="en-US"/>
              </w:rPr>
              <w:t>D12612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hint="default" w:ascii="Times New Roman" w:hAnsi="Times New Roman" w:cs="Times New Roman"/>
              </w:rPr>
            </w:pPr>
            <w:r>
              <w:rPr>
                <w:rFonts w:hint="default" w:ascii="Times New Roman" w:hAnsi="Times New Roman" w:cs="Times New Roman"/>
              </w:rPr>
              <w:t>Project Name</w:t>
            </w:r>
          </w:p>
        </w:tc>
        <w:tc>
          <w:tcPr>
            <w:tcW w:w="4843" w:type="dxa"/>
          </w:tcPr>
          <w:p>
            <w:pPr>
              <w:spacing w:after="0" w:line="240" w:lineRule="auto"/>
              <w:rPr>
                <w:rFonts w:hint="default" w:ascii="Times New Roman" w:hAnsi="Times New Roman" w:cs="Times New Roman"/>
                <w:lang w:val="en-US"/>
              </w:rPr>
            </w:pPr>
            <w:bookmarkStart w:id="0" w:name="_GoBack"/>
            <w:bookmarkEnd w:id="0"/>
            <w:r>
              <w:rPr>
                <w:rFonts w:hint="default" w:ascii="Times New Roman" w:hAnsi="Times New Roman" w:cs="Times New Roman"/>
                <w:lang w:val="en-US"/>
              </w:rPr>
              <w:t>Signs with smart connectivity for better road safety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hint="default" w:ascii="Times New Roman" w:hAnsi="Times New Roman" w:cs="Times New Roman"/>
              </w:rPr>
            </w:pPr>
            <w:r>
              <w:rPr>
                <w:rFonts w:hint="default" w:ascii="Times New Roman" w:hAnsi="Times New Roman" w:cs="Times New Roman"/>
              </w:rPr>
              <w:t>Maximum Marks</w:t>
            </w:r>
          </w:p>
        </w:tc>
        <w:tc>
          <w:tcPr>
            <w:tcW w:w="4843" w:type="dxa"/>
          </w:tcPr>
          <w:p>
            <w:pPr>
              <w:spacing w:after="0" w:line="240" w:lineRule="auto"/>
              <w:rPr>
                <w:rFonts w:hint="default" w:ascii="Times New Roman" w:hAnsi="Times New Roman" w:cs="Times New Roman"/>
              </w:rPr>
            </w:pPr>
            <w:r>
              <w:rPr>
                <w:rFonts w:hint="default" w:ascii="Times New Roman" w:hAnsi="Times New Roman" w:cs="Times New Roman"/>
              </w:rPr>
              <w:t>8 Marks</w:t>
            </w:r>
          </w:p>
        </w:tc>
      </w:tr>
    </w:tbl>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8"/>
          <w:szCs w:val="38"/>
          <w:lang w:val="en-US" w:eastAsia="zh-CN" w:bidi="ar"/>
        </w:rPr>
      </w:pPr>
      <w:r>
        <w:rPr>
          <w:rFonts w:hint="default" w:ascii="Times New Roman" w:hAnsi="Times New Roman" w:eastAsia="SimSun" w:cs="Times New Roman"/>
          <w:color w:val="000000"/>
          <w:kern w:val="0"/>
          <w:sz w:val="38"/>
          <w:szCs w:val="38"/>
          <w:lang w:val="en-US" w:eastAsia="zh-CN" w:bidi="ar"/>
        </w:rPr>
        <w:t>IBM Watson IoT Platform:</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libri Light" w:cs="Times New Roman"/>
          <w:color w:val="000000"/>
          <w:kern w:val="0"/>
          <w:sz w:val="28"/>
          <w:szCs w:val="28"/>
          <w:lang w:val="en-US" w:eastAsia="zh-CN" w:bidi="ar"/>
        </w:rPr>
        <w:t xml:space="preserve">IBM Watson IoT Platform connects devices, ingests device data and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libri Light" w:cs="Times New Roman"/>
          <w:color w:val="000000"/>
          <w:kern w:val="0"/>
          <w:sz w:val="28"/>
          <w:szCs w:val="28"/>
          <w:lang w:val="en-US" w:eastAsia="zh-CN" w:bidi="ar"/>
        </w:rPr>
        <w:t xml:space="preserve">transforms that data into meaningful insights. Watson IoT Platform and its additional add on services enable Clients to capture data for devices, equipment, and machines, to explore this data, and to discover insights on this data that drive better decision making. Watson IoT Platform provides a pre-integrated foundation for industry solution and Client applications built on IoT data. IBM Watson IoT Platform is made up of three fundamental services: Connection Service, Analytics Service, and Block chain Service. All three services have a non production package for proofs of concept and pilot work, as well as a production package for full production deployment.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libri Light" w:cs="Times New Roman"/>
          <w:color w:val="000000"/>
          <w:kern w:val="0"/>
          <w:sz w:val="28"/>
          <w:szCs w:val="28"/>
          <w:lang w:val="en-US" w:eastAsia="zh-CN" w:bidi="ar"/>
        </w:rPr>
        <w:t xml:space="preserve">IBM Watson IoT Platform Connection Service capabilities include: </w:t>
      </w:r>
    </w:p>
    <w:p>
      <w:pPr>
        <w:keepNext w:val="0"/>
        <w:keepLines w:val="0"/>
        <w:widowControl/>
        <w:numPr>
          <w:ilvl w:val="0"/>
          <w:numId w:val="1"/>
        </w:numPr>
        <w:suppressLineNumbers w:val="0"/>
        <w:ind w:left="420" w:leftChars="0" w:hanging="420" w:firstLineChars="0"/>
        <w:jc w:val="both"/>
        <w:rPr>
          <w:rFonts w:hint="default" w:ascii="Times New Roman" w:hAnsi="Times New Roman" w:cs="Times New Roman"/>
          <w:sz w:val="16"/>
          <w:szCs w:val="16"/>
        </w:rPr>
      </w:pPr>
      <w:r>
        <w:rPr>
          <w:rFonts w:hint="default" w:ascii="Times New Roman" w:hAnsi="Times New Roman" w:eastAsia="Calibri Light" w:cs="Times New Roman"/>
          <w:color w:val="000000"/>
          <w:kern w:val="0"/>
          <w:sz w:val="28"/>
          <w:szCs w:val="28"/>
          <w:lang w:val="en-US" w:eastAsia="zh-CN" w:bidi="ar"/>
        </w:rPr>
        <w:t>Connection of a wide spectrum of IoT devices</w:t>
      </w:r>
    </w:p>
    <w:p>
      <w:pPr>
        <w:keepNext w:val="0"/>
        <w:keepLines w:val="0"/>
        <w:widowControl/>
        <w:numPr>
          <w:ilvl w:val="0"/>
          <w:numId w:val="1"/>
        </w:numPr>
        <w:suppressLineNumbers w:val="0"/>
        <w:ind w:left="420" w:leftChars="0" w:hanging="420" w:firstLineChars="0"/>
        <w:jc w:val="both"/>
        <w:rPr>
          <w:rFonts w:hint="default" w:ascii="Times New Roman" w:hAnsi="Times New Roman" w:cs="Times New Roman"/>
          <w:sz w:val="16"/>
          <w:szCs w:val="16"/>
        </w:rPr>
      </w:pPr>
      <w:r>
        <w:rPr>
          <w:rFonts w:hint="default" w:ascii="Times New Roman" w:hAnsi="Times New Roman" w:eastAsia="Calibri Light" w:cs="Times New Roman"/>
          <w:color w:val="000000"/>
          <w:kern w:val="0"/>
          <w:sz w:val="28"/>
          <w:szCs w:val="28"/>
          <w:lang w:val="en-US" w:eastAsia="zh-CN" w:bidi="ar"/>
        </w:rPr>
        <w:t>IoT device registration and management</w:t>
      </w:r>
    </w:p>
    <w:p>
      <w:pPr>
        <w:keepNext w:val="0"/>
        <w:keepLines w:val="0"/>
        <w:widowControl/>
        <w:numPr>
          <w:ilvl w:val="0"/>
          <w:numId w:val="1"/>
        </w:numPr>
        <w:suppressLineNumbers w:val="0"/>
        <w:ind w:left="420" w:leftChars="0" w:hanging="420" w:firstLineChars="0"/>
        <w:jc w:val="both"/>
        <w:rPr>
          <w:rFonts w:hint="default" w:ascii="Times New Roman" w:hAnsi="Times New Roman" w:cs="Times New Roman"/>
          <w:sz w:val="16"/>
          <w:szCs w:val="16"/>
        </w:rPr>
      </w:pPr>
      <w:r>
        <w:rPr>
          <w:rFonts w:hint="default" w:ascii="Times New Roman" w:hAnsi="Times New Roman" w:eastAsia="Calibri Light" w:cs="Times New Roman"/>
          <w:color w:val="000000"/>
          <w:kern w:val="0"/>
          <w:sz w:val="28"/>
          <w:szCs w:val="28"/>
          <w:lang w:val="en-US" w:eastAsia="zh-CN" w:bidi="ar"/>
        </w:rPr>
        <w:t>User Registration, setup, and authentication</w:t>
      </w:r>
    </w:p>
    <w:p>
      <w:pPr>
        <w:keepNext w:val="0"/>
        <w:keepLines w:val="0"/>
        <w:widowControl/>
        <w:numPr>
          <w:ilvl w:val="0"/>
          <w:numId w:val="1"/>
        </w:numPr>
        <w:suppressLineNumbers w:val="0"/>
        <w:ind w:left="420" w:leftChars="0" w:hanging="420" w:firstLineChars="0"/>
        <w:jc w:val="both"/>
        <w:rPr>
          <w:rFonts w:hint="default" w:ascii="Times New Roman" w:hAnsi="Times New Roman" w:cs="Times New Roman"/>
          <w:sz w:val="16"/>
          <w:szCs w:val="16"/>
        </w:rPr>
      </w:pPr>
      <w:r>
        <w:rPr>
          <w:rFonts w:hint="default" w:ascii="Times New Roman" w:hAnsi="Times New Roman" w:eastAsia="Calibri Light" w:cs="Times New Roman"/>
          <w:color w:val="000000"/>
          <w:kern w:val="0"/>
          <w:sz w:val="28"/>
          <w:szCs w:val="28"/>
          <w:lang w:val="en-US" w:eastAsia="zh-CN" w:bidi="ar"/>
        </w:rPr>
        <w:t>Ability to create alerts</w:t>
      </w:r>
    </w:p>
    <w:p>
      <w:pPr>
        <w:keepNext w:val="0"/>
        <w:keepLines w:val="0"/>
        <w:widowControl/>
        <w:numPr>
          <w:ilvl w:val="0"/>
          <w:numId w:val="1"/>
        </w:numPr>
        <w:suppressLineNumbers w:val="0"/>
        <w:ind w:left="420" w:leftChars="0" w:hanging="420" w:firstLineChars="0"/>
        <w:jc w:val="both"/>
        <w:rPr>
          <w:rFonts w:hint="default" w:ascii="Times New Roman" w:hAnsi="Times New Roman" w:cs="Times New Roman"/>
          <w:sz w:val="16"/>
          <w:szCs w:val="16"/>
        </w:rPr>
      </w:pPr>
      <w:r>
        <w:rPr>
          <w:rFonts w:hint="default" w:ascii="Times New Roman" w:hAnsi="Times New Roman" w:eastAsia="Calibri Light" w:cs="Times New Roman"/>
          <w:color w:val="000000"/>
          <w:kern w:val="0"/>
          <w:sz w:val="28"/>
          <w:szCs w:val="28"/>
          <w:lang w:val="en-US" w:eastAsia="zh-CN" w:bidi="ar"/>
        </w:rPr>
        <w:t>Security with TLS authentication support, access control group for</w:t>
      </w:r>
    </w:p>
    <w:p>
      <w:pPr>
        <w:keepNext w:val="0"/>
        <w:keepLines w:val="0"/>
        <w:widowControl/>
        <w:numPr>
          <w:ilvl w:val="0"/>
          <w:numId w:val="1"/>
        </w:numPr>
        <w:suppressLineNumbers w:val="0"/>
        <w:ind w:left="420" w:leftChars="0" w:hanging="420" w:firstLineChars="0"/>
        <w:jc w:val="both"/>
        <w:rPr>
          <w:rFonts w:hint="default" w:ascii="Times New Roman" w:hAnsi="Times New Roman" w:cs="Times New Roman"/>
          <w:sz w:val="16"/>
          <w:szCs w:val="16"/>
        </w:rPr>
      </w:pPr>
      <w:r>
        <w:rPr>
          <w:rFonts w:hint="default" w:ascii="Times New Roman" w:hAnsi="Times New Roman" w:eastAsia="Calibri Light" w:cs="Times New Roman"/>
          <w:color w:val="000000"/>
          <w:kern w:val="0"/>
          <w:sz w:val="28"/>
          <w:szCs w:val="28"/>
          <w:lang w:val="en-US" w:eastAsia="zh-CN" w:bidi="ar"/>
        </w:rPr>
        <w:t>devices &amp;gateways</w:t>
      </w:r>
    </w:p>
    <w:p>
      <w:pPr>
        <w:keepNext w:val="0"/>
        <w:keepLines w:val="0"/>
        <w:widowControl/>
        <w:numPr>
          <w:ilvl w:val="0"/>
          <w:numId w:val="1"/>
        </w:numPr>
        <w:suppressLineNumbers w:val="0"/>
        <w:ind w:left="420" w:leftChars="0" w:hanging="420" w:firstLineChars="0"/>
        <w:jc w:val="both"/>
        <w:rPr>
          <w:rFonts w:hint="default" w:ascii="Times New Roman" w:hAnsi="Times New Roman" w:cs="Times New Roman"/>
          <w:sz w:val="16"/>
          <w:szCs w:val="16"/>
        </w:rPr>
      </w:pPr>
      <w:r>
        <w:rPr>
          <w:rFonts w:hint="default" w:ascii="Times New Roman" w:hAnsi="Times New Roman" w:eastAsia="Calibri Light" w:cs="Times New Roman"/>
          <w:color w:val="000000"/>
          <w:kern w:val="0"/>
          <w:sz w:val="28"/>
          <w:szCs w:val="28"/>
          <w:lang w:val="en-US" w:eastAsia="zh-CN" w:bidi="ar"/>
        </w:rPr>
        <w:t>Data Life cycle Management</w:t>
      </w:r>
    </w:p>
    <w:p>
      <w:pPr>
        <w:keepNext w:val="0"/>
        <w:keepLines w:val="0"/>
        <w:widowControl/>
        <w:numPr>
          <w:ilvl w:val="0"/>
          <w:numId w:val="1"/>
        </w:numPr>
        <w:suppressLineNumbers w:val="0"/>
        <w:ind w:left="420" w:leftChars="0" w:hanging="420" w:firstLineChars="0"/>
        <w:jc w:val="both"/>
        <w:rPr>
          <w:rFonts w:hint="default" w:ascii="Times New Roman" w:hAnsi="Times New Roman" w:eastAsia="Calibri Light" w:cs="Times New Roman"/>
          <w:color w:val="000000"/>
          <w:kern w:val="0"/>
          <w:sz w:val="28"/>
          <w:szCs w:val="28"/>
          <w:lang w:val="en-US" w:eastAsia="zh-CN" w:bidi="ar"/>
        </w:rPr>
      </w:pPr>
      <w:r>
        <w:rPr>
          <w:rFonts w:hint="default" w:ascii="Times New Roman" w:hAnsi="Times New Roman" w:eastAsia="Calibri Light" w:cs="Times New Roman"/>
          <w:color w:val="000000"/>
          <w:kern w:val="0"/>
          <w:sz w:val="28"/>
          <w:szCs w:val="28"/>
          <w:lang w:val="en-US" w:eastAsia="zh-CN" w:bidi="ar"/>
        </w:rPr>
        <w:t>Solution administration for deployment and device groupings</w:t>
      </w:r>
    </w:p>
    <w:p>
      <w:pPr>
        <w:keepNext w:val="0"/>
        <w:keepLines w:val="0"/>
        <w:widowControl/>
        <w:suppressLineNumbers w:val="0"/>
        <w:jc w:val="left"/>
        <w:rPr>
          <w:rFonts w:hint="default" w:ascii="Times New Roman" w:hAnsi="Times New Roman" w:eastAsia="SimSun" w:cs="Times New Roman"/>
          <w:color w:val="000000"/>
          <w:kern w:val="0"/>
          <w:sz w:val="38"/>
          <w:szCs w:val="38"/>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38"/>
          <w:szCs w:val="38"/>
          <w:lang w:val="en-US" w:eastAsia="zh-CN" w:bidi="ar"/>
        </w:rPr>
        <w:t>Node-RED Service:</w:t>
      </w:r>
      <w:r>
        <w:rPr>
          <w:rFonts w:hint="default" w:ascii="Times New Roman" w:hAnsi="Times New Roman" w:eastAsia="SimSun" w:cs="Times New Roman"/>
          <w:color w:val="000000"/>
          <w:kern w:val="0"/>
          <w:sz w:val="48"/>
          <w:szCs w:val="48"/>
          <w:lang w:val="en-US" w:eastAsia="zh-CN" w:bidi="ar"/>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Calibri Light" w:cs="Times New Roman"/>
          <w:color w:val="000000"/>
          <w:kern w:val="0"/>
          <w:sz w:val="27"/>
          <w:szCs w:val="27"/>
          <w:lang w:val="en-US" w:eastAsia="zh-CN" w:bidi="ar"/>
        </w:rPr>
        <w:t xml:space="preserve">Node-RED is a flow based development tool for visual programming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Calibri Light" w:cs="Times New Roman"/>
          <w:color w:val="000000"/>
          <w:kern w:val="0"/>
          <w:sz w:val="27"/>
          <w:szCs w:val="27"/>
          <w:lang w:val="en-US" w:eastAsia="zh-CN" w:bidi="ar"/>
        </w:rPr>
        <w:t xml:space="preserve">developed originally by IBM for working together hardware devices, APIs and online services as part of the Internet of Things. </w:t>
      </w:r>
      <w:r>
        <w:rPr>
          <w:rFonts w:hint="default" w:ascii="Times New Roman" w:hAnsi="Times New Roman" w:eastAsia="Calibri Light" w:cs="Times New Roman"/>
          <w:color w:val="1F2021"/>
          <w:kern w:val="0"/>
          <w:sz w:val="27"/>
          <w:szCs w:val="27"/>
          <w:lang w:val="en-US" w:eastAsia="zh-CN" w:bidi="ar"/>
        </w:rPr>
        <w:t xml:space="preserve">Node-RED provides web browser -based flow editor, which can be used to create JavaScript functions. Elements of applications can be saved or shared for re-use. The runtime is built on Node.js. The flows created in Node-RED are stored using JSON. Since version 0.14, MQTT nodes can make properly configured TLS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Calibri Light" w:cs="Times New Roman"/>
          <w:color w:val="1F2021"/>
          <w:kern w:val="0"/>
          <w:sz w:val="27"/>
          <w:szCs w:val="27"/>
          <w:lang w:val="en-US" w:eastAsia="zh-CN" w:bidi="ar"/>
        </w:rPr>
        <w:t>connections</w:t>
      </w:r>
    </w:p>
    <w:p>
      <w:pPr>
        <w:jc w:val="both"/>
        <w:rPr>
          <w:rFonts w:hint="default" w:ascii="Times New Roman" w:hAnsi="Times New Roman" w:cs="Times New Roman"/>
          <w:b/>
          <w:bCs/>
          <w:sz w:val="40"/>
          <w:szCs w:val="4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CEAA0"/>
    <w:multiLevelType w:val="singleLevel"/>
    <w:tmpl w:val="231CEAA0"/>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A17865"/>
    <w:rsid w:val="00DF058C"/>
    <w:rsid w:val="15A17865"/>
    <w:rsid w:val="1E7E2DE1"/>
    <w:rsid w:val="1F2952D3"/>
    <w:rsid w:val="354E1D2E"/>
    <w:rsid w:val="587C2BCE"/>
    <w:rsid w:val="6F376DC6"/>
    <w:rsid w:val="6FB37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2022-11-06T16:54:00Z</dcterms:created>
  <dc:creator>PK PES GAMERS</dc:creator>
  <cp:lastModifiedBy>Surya S</cp:lastModifiedBy>
  <dcterms:modified xsi:type="dcterms:W3CDTF">2022-11-07T04:14:55Z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E1275FEADB66487989ACCF2D95C57CC6</vt:lpwstr>
  </property>
</Properties>
</file>