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IBM Plex Sans" w:hAnsi="IBM Plex Sans"/>
          <w:sz w:val="2"/>
        </w:rPr>
        <w:id w:val="437568148"/>
        <w:docPartObj>
          <w:docPartGallery w:val="Cover Pages"/>
          <w:docPartUnique/>
        </w:docPartObj>
      </w:sdtPr>
      <w:sdtEndPr>
        <w:rPr>
          <w:sz w:val="21"/>
        </w:rPr>
      </w:sdtEndPr>
      <w:sdtContent>
        <w:p w14:paraId="6DF636AD" w14:textId="7FCD36A4" w:rsidR="00B75AFD" w:rsidRPr="00A6208A" w:rsidRDefault="00312127">
          <w:pPr>
            <w:pStyle w:val="NoSpacing"/>
            <w:rPr>
              <w:rFonts w:ascii="IBM Plex Sans" w:hAnsi="IBM Plex Sans"/>
              <w:sz w:val="2"/>
            </w:rPr>
          </w:pPr>
          <w:r w:rsidRPr="00A6208A">
            <w:rPr>
              <w:rFonts w:ascii="IBM Plex Sans" w:hAnsi="IBM Plex Sans"/>
              <w:noProof/>
            </w:rPr>
            <mc:AlternateContent>
              <mc:Choice Requires="wps">
                <w:drawing>
                  <wp:anchor distT="0" distB="0" distL="114300" distR="114300" simplePos="0" relativeHeight="251658240" behindDoc="0" locked="0" layoutInCell="1" allowOverlap="1" wp14:anchorId="25F99E9D" wp14:editId="5C6EEB10">
                    <wp:simplePos x="0" y="0"/>
                    <wp:positionH relativeFrom="page">
                      <wp:posOffset>913130</wp:posOffset>
                    </wp:positionH>
                    <wp:positionV relativeFrom="margin">
                      <wp:posOffset>0</wp:posOffset>
                    </wp:positionV>
                    <wp:extent cx="5943600" cy="914400"/>
                    <wp:effectExtent l="0" t="0" r="0" b="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0C5423F" w14:textId="2922DE79" w:rsidR="00B75AFD" w:rsidRPr="00312127" w:rsidRDefault="00312127">
                                <w:pPr>
                                  <w:pStyle w:val="NoSpacing"/>
                                  <w:spacing w:before="120"/>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2127">
                                  <w:rPr>
                                    <w:rFonts w:asciiTheme="majorHAnsi" w:eastAsiaTheme="majorEastAsia" w:hAnsiTheme="majorHAnsi" w:cstheme="majorBidi"/>
                                    <w:color w:val="4F81BD"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E-Commerce with watsonx.data and Open Table Formats</w:t>
                                </w:r>
                                <w:r w:rsidRPr="00312127">
                                  <w:rPr>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A8B4601" w14:textId="77777777" w:rsidR="00B75AFD" w:rsidRDefault="00B75A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F99E9D" id="_x0000_t202" coordsize="21600,21600" o:spt="202" path="m,l,21600r21600,l21600,xe">
                    <v:stroke joinstyle="miter"/>
                    <v:path gradientshapeok="t" o:connecttype="rect"/>
                  </v:shapetype>
                  <v:shape id="Text Box 27" o:spid="_x0000_s1026" type="#_x0000_t202" style="position:absolute;margin-left:71.9pt;margin-top:0;width:468pt;height:1in;z-index:25165824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Yg5YwIAADMFAAAOAAAAZHJzL2Uyb0RvYy54bWysVN9P2zAQfp+0/8Hy+0jLCoOKFHUgpkkI&#13;&#10;0GDi2XXsNpLj887XJt1fv7OTlo7thWkvjnO/77vvfHHZNU5sDMYafCnHRyMpjNdQ1X5Zyu9PNx/O&#13;&#10;pIikfKUceFPKrYnycvb+3UUbpuYYVuAqg4KD+DhtQylXRGFaFFGvTKPiEQTjWWkBG0X8i8uiQtVy&#13;&#10;9MYVx6PRadECVgFBmxhZet0r5SzHt9Zourc2GhKulFwb5RPzuUhnMbtQ0yWqsKr1UIb6hyoaVXtO&#13;&#10;ug91rUiJNdZ/hGpqjRDB0pGGpgBra21yD9zNePSqm8eVCib3wuDEsIcp/r+w+m7zGB5QUPcZOh5g&#13;&#10;AqQNcRpZmPrpLDbpy5UK1jOE2z1spiOhWXhyPvl4OmKVZt35eDLhO4cpXrwDRvpioBHpUkrksWS0&#13;&#10;1OY2Um+6M0nJPNzUzuXROP+bgGMmSfFSYr7R1plk5/w3Y0Vd5UqTIGpcLq4cin7kzEkuczf4HIwd&#13;&#10;kqHlhG/0HVySt8lMe6P/3innB097/6b2gBmgvAcmNbBRzGCltfF0MqBre58dHD0ICQ/qFt0wxwVU&#13;&#10;Wx4vQs/8GPRNzTO4VZEeFDLVGQ9eX7rnwzpoSwnDTYoV4M+/yZM9M5C1UrS8OqWMP9YKjRTuq2du&#13;&#10;ZgrwruWfycmnY86Bh5rFocavmyvg3sb8UASdr8me3O5qEZpn3vJ5ysoq5TXnLiXtrlfUT5dfCW3m&#13;&#10;82zE2xUU3frHoFPoBHFi2FP3rDAMNCQm8B3slkxNX7Gxt02eMczXxJzMVE0A96gOwPNmZrIPr0ha&#13;&#10;/cP/bPXy1s1+AQAA//8DAFBLAwQUAAYACAAAACEAdla6b98AAAAOAQAADwAAAGRycy9kb3ducmV2&#13;&#10;LnhtbEyPzU7DMBCE70i8g7VI3KhDqUqTxqkQqMfyU3rhto2XJCJep7Hbpm/P5gSXlT6NZnYmXw2u&#13;&#10;VSfqQ+PZwP0kAUVcettwZWD3ub5bgAoR2WLrmQxcKMCquL7KMbP+zB902sZKSQiHDA3UMXaZ1qGs&#13;&#10;yWGY+I5YtG/fO4yCfaVtj2cJd62eJslcO2xYPtTY0XNN5c/26AxM9RfTBdPq9dDZ9fzwnm7028aY&#13;&#10;25vhZSnnaQkq0hD/HDBukP5QSLG9P7INqhWePUj/aEBmjXLymArvR2GWgC5y/X9G8QsAAP//AwBQ&#13;&#10;SwECLQAUAAYACAAAACEAtoM4kv4AAADhAQAAEwAAAAAAAAAAAAAAAAAAAAAAW0NvbnRlbnRfVHlw&#13;&#10;ZXNdLnhtbFBLAQItABQABgAIAAAAIQA4/SH/1gAAAJQBAAALAAAAAAAAAAAAAAAAAC8BAABfcmVs&#13;&#10;cy8ucmVsc1BLAQItABQABgAIAAAAIQBjQYg5YwIAADMFAAAOAAAAAAAAAAAAAAAAAC4CAABkcnMv&#13;&#10;ZTJvRG9jLnhtbFBLAQItABQABgAIAAAAIQB2Vrpv3wAAAA4BAAAPAAAAAAAAAAAAAAAAAL0EAABk&#13;&#10;cnMvZG93bnJldi54bWxQSwUGAAAAAAQABADzAAAAyQUAAAAA&#13;&#10;" filled="f" stroked="f">
                    <v:textbox style="mso-fit-shape-to-text:t">
                      <w:txbxContent>
                        <w:p w14:paraId="60C5423F" w14:textId="2922DE79" w:rsidR="00B75AFD" w:rsidRPr="00312127" w:rsidRDefault="00312127">
                          <w:pPr>
                            <w:pStyle w:val="NoSpacing"/>
                            <w:spacing w:before="120"/>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2127">
                            <w:rPr>
                              <w:rFonts w:asciiTheme="majorHAnsi" w:eastAsiaTheme="majorEastAsia" w:hAnsiTheme="majorHAnsi" w:cstheme="majorBidi"/>
                              <w:color w:val="4F81BD" w:themeColor="accent1"/>
                              <w:sz w:val="64"/>
                              <w:szCs w:val="6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E-Commerce with watsonx.data and Open Table Formats</w:t>
                          </w:r>
                          <w:r w:rsidRPr="00312127">
                            <w:rPr>
                              <w:noProof/>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A8B4601" w14:textId="77777777" w:rsidR="00B75AFD" w:rsidRDefault="00B75AFD"/>
                      </w:txbxContent>
                    </v:textbox>
                    <w10:wrap anchorx="page" anchory="margin"/>
                  </v:shape>
                </w:pict>
              </mc:Fallback>
            </mc:AlternateContent>
          </w:r>
        </w:p>
        <w:p w14:paraId="199C8DD3" w14:textId="78FC3D6B" w:rsidR="00B75AFD" w:rsidRPr="00A6208A" w:rsidRDefault="00B75AFD">
          <w:pPr>
            <w:rPr>
              <w:rFonts w:ascii="IBM Plex Sans" w:hAnsi="IBM Plex Sans"/>
            </w:rPr>
          </w:pPr>
          <w:r w:rsidRPr="00A6208A">
            <w:rPr>
              <w:rFonts w:ascii="IBM Plex Sans" w:hAnsi="IBM Plex Sans"/>
              <w:noProof/>
              <w:color w:val="4F81BD" w:themeColor="accent1"/>
              <w:sz w:val="36"/>
              <w:szCs w:val="36"/>
            </w:rPr>
            <mc:AlternateContent>
              <mc:Choice Requires="wpg">
                <w:drawing>
                  <wp:anchor distT="0" distB="0" distL="114300" distR="114300" simplePos="0" relativeHeight="251660288" behindDoc="1" locked="0" layoutInCell="1" allowOverlap="1" wp14:anchorId="549CB25B" wp14:editId="0F1230A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3224CB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Pr="00A6208A">
            <w:rPr>
              <w:rFonts w:ascii="IBM Plex Sans" w:hAnsi="IBM Plex Sans"/>
              <w:noProof/>
            </w:rPr>
            <mc:AlternateContent>
              <mc:Choice Requires="wps">
                <w:drawing>
                  <wp:anchor distT="0" distB="0" distL="114300" distR="114300" simplePos="0" relativeHeight="251659264" behindDoc="0" locked="0" layoutInCell="1" allowOverlap="1" wp14:anchorId="5006C773" wp14:editId="2F1E5C1F">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9430C" w14:textId="3DD7F0E0" w:rsidR="00B75AFD" w:rsidRPr="00B75AFD" w:rsidRDefault="00000000">
                                <w:pPr>
                                  <w:pStyle w:val="NoSpacing"/>
                                  <w:jc w:val="right"/>
                                  <w:rPr>
                                    <w:color w:val="4F81BD" w:themeColor="accent1"/>
                                    <w:sz w:val="44"/>
                                    <w:szCs w:val="44"/>
                                  </w:rPr>
                                </w:pPr>
                                <w:sdt>
                                  <w:sdtPr>
                                    <w:rPr>
                                      <w:color w:val="4F81BD" w:themeColor="accent1"/>
                                      <w:sz w:val="44"/>
                                      <w:szCs w:val="44"/>
                                    </w:rPr>
                                    <w:alias w:val="School"/>
                                    <w:tag w:val="School"/>
                                    <w:id w:val="1850680582"/>
                                    <w:dataBinding w:prefixMappings="xmlns:ns0='http://schemas.openxmlformats.org/officeDocument/2006/extended-properties' " w:xpath="/ns0:Properties[1]/ns0:Company[1]" w:storeItemID="{6668398D-A668-4E3E-A5EB-62B293D839F1}"/>
                                    <w:text/>
                                  </w:sdtPr>
                                  <w:sdtContent>
                                    <w:r w:rsidR="00B75AFD" w:rsidRPr="00B75AFD">
                                      <w:rPr>
                                        <w:color w:val="4F81BD" w:themeColor="accent1"/>
                                        <w:sz w:val="44"/>
                                        <w:szCs w:val="44"/>
                                      </w:rPr>
                                      <w:t>Netra C 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A5DDD0E" w14:textId="667EA1F5" w:rsidR="00B75AFD" w:rsidRDefault="00B75AFD">
                                    <w:pPr>
                                      <w:pStyle w:val="NoSpacing"/>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6C773" id="Text Box 34"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1C09430C" w14:textId="3DD7F0E0" w:rsidR="00B75AFD" w:rsidRPr="00B75AFD" w:rsidRDefault="00000000">
                          <w:pPr>
                            <w:pStyle w:val="NoSpacing"/>
                            <w:jc w:val="right"/>
                            <w:rPr>
                              <w:color w:val="4F81BD" w:themeColor="accent1"/>
                              <w:sz w:val="44"/>
                              <w:szCs w:val="44"/>
                            </w:rPr>
                          </w:pPr>
                          <w:sdt>
                            <w:sdtPr>
                              <w:rPr>
                                <w:color w:val="4F81BD" w:themeColor="accent1"/>
                                <w:sz w:val="44"/>
                                <w:szCs w:val="44"/>
                              </w:rPr>
                              <w:alias w:val="School"/>
                              <w:tag w:val="School"/>
                              <w:id w:val="1850680582"/>
                              <w:dataBinding w:prefixMappings="xmlns:ns0='http://schemas.openxmlformats.org/officeDocument/2006/extended-properties' " w:xpath="/ns0:Properties[1]/ns0:Company[1]" w:storeItemID="{6668398D-A668-4E3E-A5EB-62B293D839F1}"/>
                              <w:text/>
                            </w:sdtPr>
                            <w:sdtContent>
                              <w:r w:rsidR="00B75AFD" w:rsidRPr="00B75AFD">
                                <w:rPr>
                                  <w:color w:val="4F81BD" w:themeColor="accent1"/>
                                  <w:sz w:val="44"/>
                                  <w:szCs w:val="44"/>
                                </w:rPr>
                                <w:t>Netra C 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A5DDD0E" w14:textId="667EA1F5" w:rsidR="00B75AFD" w:rsidRDefault="00B75AFD">
                              <w:pPr>
                                <w:pStyle w:val="NoSpacing"/>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14:paraId="1FA24AFF" w14:textId="065D81A5" w:rsidR="00FB6F6F" w:rsidRPr="00A6208A" w:rsidRDefault="00FB6F6F">
          <w:pPr>
            <w:rPr>
              <w:rFonts w:ascii="IBM Plex Sans" w:hAnsi="IBM Plex Sans"/>
            </w:rPr>
          </w:pPr>
        </w:p>
        <w:p w14:paraId="6C2E7A1B" w14:textId="77777777" w:rsidR="00FB6F6F" w:rsidRPr="00A6208A" w:rsidRDefault="00FB6F6F">
          <w:pPr>
            <w:rPr>
              <w:rFonts w:ascii="IBM Plex Sans" w:hAnsi="IBM Plex Sans"/>
            </w:rPr>
          </w:pPr>
          <w:r w:rsidRPr="00A6208A">
            <w:rPr>
              <w:rFonts w:ascii="IBM Plex Sans" w:hAnsi="IBM Plex Sans"/>
            </w:rPr>
            <w:br w:type="page"/>
          </w:r>
        </w:p>
        <w:sdt>
          <w:sdtPr>
            <w:rPr>
              <w:rFonts w:ascii="IBM Plex Sans" w:eastAsiaTheme="minorHAnsi" w:hAnsi="IBM Plex Sans" w:cstheme="minorBidi"/>
              <w:b w:val="0"/>
              <w:bCs w:val="0"/>
              <w:color w:val="auto"/>
              <w:spacing w:val="0"/>
              <w:sz w:val="21"/>
              <w:szCs w:val="22"/>
            </w:rPr>
            <w:id w:val="208532260"/>
            <w:docPartObj>
              <w:docPartGallery w:val="Table of Contents"/>
              <w:docPartUnique/>
            </w:docPartObj>
          </w:sdtPr>
          <w:sdtEndPr>
            <w:rPr>
              <w:noProof/>
            </w:rPr>
          </w:sdtEndPr>
          <w:sdtContent>
            <w:p w14:paraId="5FF6BBA0" w14:textId="6A9F8ED0" w:rsidR="00FB6F6F" w:rsidRPr="00A6208A" w:rsidRDefault="00FB6F6F">
              <w:pPr>
                <w:pStyle w:val="TOCHeading"/>
                <w:rPr>
                  <w:rFonts w:ascii="IBM Plex Sans" w:hAnsi="IBM Plex Sans"/>
                </w:rPr>
              </w:pPr>
              <w:r w:rsidRPr="00A6208A">
                <w:rPr>
                  <w:rFonts w:ascii="IBM Plex Sans" w:hAnsi="IBM Plex Sans"/>
                </w:rPr>
                <w:t>Table of Contents</w:t>
              </w:r>
            </w:p>
            <w:p w14:paraId="55CDE4E6" w14:textId="355589E8" w:rsidR="00EE1434" w:rsidRDefault="00FB6F6F">
              <w:pPr>
                <w:pStyle w:val="TOC1"/>
                <w:tabs>
                  <w:tab w:val="right" w:leader="dot" w:pos="8630"/>
                </w:tabs>
                <w:rPr>
                  <w:rFonts w:eastAsiaTheme="minorEastAsia"/>
                  <w:b w:val="0"/>
                  <w:bCs w:val="0"/>
                  <w:i w:val="0"/>
                  <w:iCs w:val="0"/>
                  <w:noProof/>
                  <w:kern w:val="2"/>
                  <w:lang w:val="en-IN" w:eastAsia="en-GB"/>
                  <w14:ligatures w14:val="standardContextual"/>
                </w:rPr>
              </w:pPr>
              <w:r w:rsidRPr="009D18F2">
                <w:rPr>
                  <w:rFonts w:ascii="IBM Plex Sans" w:hAnsi="IBM Plex Sans"/>
                  <w:b w:val="0"/>
                  <w:bCs w:val="0"/>
                </w:rPr>
                <w:fldChar w:fldCharType="begin"/>
              </w:r>
              <w:r w:rsidRPr="009D18F2">
                <w:rPr>
                  <w:rFonts w:ascii="IBM Plex Sans" w:hAnsi="IBM Plex Sans"/>
                  <w:b w:val="0"/>
                  <w:bCs w:val="0"/>
                </w:rPr>
                <w:instrText xml:space="preserve"> TOC \o "1-3" \h \z \u </w:instrText>
              </w:r>
              <w:r w:rsidRPr="009D18F2">
                <w:rPr>
                  <w:rFonts w:ascii="IBM Plex Sans" w:hAnsi="IBM Plex Sans"/>
                  <w:b w:val="0"/>
                  <w:bCs w:val="0"/>
                </w:rPr>
                <w:fldChar w:fldCharType="separate"/>
              </w:r>
              <w:hyperlink w:anchor="_Toc183470283" w:history="1">
                <w:r w:rsidR="00EE1434" w:rsidRPr="003C40E2">
                  <w:rPr>
                    <w:rStyle w:val="Hyperlink"/>
                    <w:rFonts w:ascii="IBM Plex Sans" w:hAnsi="IBM Plex Sans"/>
                    <w:noProof/>
                  </w:rPr>
                  <w:t>1. Introduction</w:t>
                </w:r>
                <w:r w:rsidR="00EE1434">
                  <w:rPr>
                    <w:noProof/>
                    <w:webHidden/>
                  </w:rPr>
                  <w:tab/>
                </w:r>
                <w:r w:rsidR="00EE1434">
                  <w:rPr>
                    <w:noProof/>
                    <w:webHidden/>
                  </w:rPr>
                  <w:fldChar w:fldCharType="begin"/>
                </w:r>
                <w:r w:rsidR="00EE1434">
                  <w:rPr>
                    <w:noProof/>
                    <w:webHidden/>
                  </w:rPr>
                  <w:instrText xml:space="preserve"> PAGEREF _Toc183470283 \h </w:instrText>
                </w:r>
                <w:r w:rsidR="00EE1434">
                  <w:rPr>
                    <w:noProof/>
                    <w:webHidden/>
                  </w:rPr>
                </w:r>
                <w:r w:rsidR="00EE1434">
                  <w:rPr>
                    <w:noProof/>
                    <w:webHidden/>
                  </w:rPr>
                  <w:fldChar w:fldCharType="separate"/>
                </w:r>
                <w:r w:rsidR="00EE1434">
                  <w:rPr>
                    <w:noProof/>
                    <w:webHidden/>
                  </w:rPr>
                  <w:t>2</w:t>
                </w:r>
                <w:r w:rsidR="00EE1434">
                  <w:rPr>
                    <w:noProof/>
                    <w:webHidden/>
                  </w:rPr>
                  <w:fldChar w:fldCharType="end"/>
                </w:r>
              </w:hyperlink>
            </w:p>
            <w:p w14:paraId="56D33AE6" w14:textId="6E847D7B" w:rsidR="00EE1434" w:rsidRDefault="00EE1434">
              <w:pPr>
                <w:pStyle w:val="TOC2"/>
                <w:tabs>
                  <w:tab w:val="left" w:pos="880"/>
                  <w:tab w:val="right" w:leader="dot" w:pos="8630"/>
                </w:tabs>
                <w:rPr>
                  <w:rFonts w:eastAsiaTheme="minorEastAsia"/>
                  <w:b w:val="0"/>
                  <w:bCs w:val="0"/>
                  <w:noProof/>
                  <w:kern w:val="2"/>
                  <w:sz w:val="24"/>
                  <w:szCs w:val="24"/>
                  <w:lang w:val="en-IN" w:eastAsia="en-GB"/>
                  <w14:ligatures w14:val="standardContextual"/>
                </w:rPr>
              </w:pPr>
              <w:hyperlink w:anchor="_Toc183470284" w:history="1">
                <w:r w:rsidRPr="003C40E2">
                  <w:rPr>
                    <w:rStyle w:val="Hyperlink"/>
                    <w:rFonts w:ascii="IBM Plex Sans" w:hAnsi="IBM Plex Sans"/>
                    <w:noProof/>
                  </w:rPr>
                  <w:t>1.1</w:t>
                </w:r>
                <w:r>
                  <w:rPr>
                    <w:rFonts w:eastAsiaTheme="minorEastAsia"/>
                    <w:b w:val="0"/>
                    <w:bCs w:val="0"/>
                    <w:noProof/>
                    <w:kern w:val="2"/>
                    <w:sz w:val="24"/>
                    <w:szCs w:val="24"/>
                    <w:lang w:val="en-IN" w:eastAsia="en-GB"/>
                    <w14:ligatures w14:val="standardContextual"/>
                  </w:rPr>
                  <w:tab/>
                </w:r>
                <w:r w:rsidRPr="003C40E2">
                  <w:rPr>
                    <w:rStyle w:val="Hyperlink"/>
                    <w:rFonts w:ascii="IBM Plex Sans" w:hAnsi="IBM Plex Sans"/>
                    <w:noProof/>
                  </w:rPr>
                  <w:t>Open Table Formats as Catalogs</w:t>
                </w:r>
                <w:r>
                  <w:rPr>
                    <w:noProof/>
                    <w:webHidden/>
                  </w:rPr>
                  <w:tab/>
                </w:r>
                <w:r>
                  <w:rPr>
                    <w:noProof/>
                    <w:webHidden/>
                  </w:rPr>
                  <w:fldChar w:fldCharType="begin"/>
                </w:r>
                <w:r>
                  <w:rPr>
                    <w:noProof/>
                    <w:webHidden/>
                  </w:rPr>
                  <w:instrText xml:space="preserve"> PAGEREF _Toc183470284 \h </w:instrText>
                </w:r>
                <w:r>
                  <w:rPr>
                    <w:noProof/>
                    <w:webHidden/>
                  </w:rPr>
                </w:r>
                <w:r>
                  <w:rPr>
                    <w:noProof/>
                    <w:webHidden/>
                  </w:rPr>
                  <w:fldChar w:fldCharType="separate"/>
                </w:r>
                <w:r>
                  <w:rPr>
                    <w:noProof/>
                    <w:webHidden/>
                  </w:rPr>
                  <w:t>2</w:t>
                </w:r>
                <w:r>
                  <w:rPr>
                    <w:noProof/>
                    <w:webHidden/>
                  </w:rPr>
                  <w:fldChar w:fldCharType="end"/>
                </w:r>
              </w:hyperlink>
            </w:p>
            <w:p w14:paraId="00876040" w14:textId="3E7D0386" w:rsidR="00EE1434" w:rsidRDefault="00EE1434">
              <w:pPr>
                <w:pStyle w:val="TOC2"/>
                <w:tabs>
                  <w:tab w:val="left" w:pos="880"/>
                  <w:tab w:val="right" w:leader="dot" w:pos="8630"/>
                </w:tabs>
                <w:rPr>
                  <w:rFonts w:eastAsiaTheme="minorEastAsia"/>
                  <w:b w:val="0"/>
                  <w:bCs w:val="0"/>
                  <w:noProof/>
                  <w:kern w:val="2"/>
                  <w:sz w:val="24"/>
                  <w:szCs w:val="24"/>
                  <w:lang w:val="en-IN" w:eastAsia="en-GB"/>
                  <w14:ligatures w14:val="standardContextual"/>
                </w:rPr>
              </w:pPr>
              <w:hyperlink w:anchor="_Toc183470285" w:history="1">
                <w:r w:rsidRPr="003C40E2">
                  <w:rPr>
                    <w:rStyle w:val="Hyperlink"/>
                    <w:rFonts w:ascii="IBM Plex Sans" w:hAnsi="IBM Plex Sans"/>
                    <w:noProof/>
                  </w:rPr>
                  <w:t>1.2</w:t>
                </w:r>
                <w:r>
                  <w:rPr>
                    <w:rFonts w:eastAsiaTheme="minorEastAsia"/>
                    <w:b w:val="0"/>
                    <w:bCs w:val="0"/>
                    <w:noProof/>
                    <w:kern w:val="2"/>
                    <w:sz w:val="24"/>
                    <w:szCs w:val="24"/>
                    <w:lang w:val="en-IN" w:eastAsia="en-GB"/>
                    <w14:ligatures w14:val="standardContextual"/>
                  </w:rPr>
                  <w:tab/>
                </w:r>
                <w:r w:rsidRPr="003C40E2">
                  <w:rPr>
                    <w:rStyle w:val="Hyperlink"/>
                    <w:rFonts w:ascii="IBM Plex Sans" w:hAnsi="IBM Plex Sans"/>
                    <w:noProof/>
                  </w:rPr>
                  <w:t>Why Integrate in a Unified Platform?</w:t>
                </w:r>
                <w:r>
                  <w:rPr>
                    <w:noProof/>
                    <w:webHidden/>
                  </w:rPr>
                  <w:tab/>
                </w:r>
                <w:r>
                  <w:rPr>
                    <w:noProof/>
                    <w:webHidden/>
                  </w:rPr>
                  <w:fldChar w:fldCharType="begin"/>
                </w:r>
                <w:r>
                  <w:rPr>
                    <w:noProof/>
                    <w:webHidden/>
                  </w:rPr>
                  <w:instrText xml:space="preserve"> PAGEREF _Toc183470285 \h </w:instrText>
                </w:r>
                <w:r>
                  <w:rPr>
                    <w:noProof/>
                    <w:webHidden/>
                  </w:rPr>
                </w:r>
                <w:r>
                  <w:rPr>
                    <w:noProof/>
                    <w:webHidden/>
                  </w:rPr>
                  <w:fldChar w:fldCharType="separate"/>
                </w:r>
                <w:r>
                  <w:rPr>
                    <w:noProof/>
                    <w:webHidden/>
                  </w:rPr>
                  <w:t>2</w:t>
                </w:r>
                <w:r>
                  <w:rPr>
                    <w:noProof/>
                    <w:webHidden/>
                  </w:rPr>
                  <w:fldChar w:fldCharType="end"/>
                </w:r>
              </w:hyperlink>
            </w:p>
            <w:p w14:paraId="648430CB" w14:textId="07DACFC7" w:rsidR="00EE1434" w:rsidRDefault="00EE1434">
              <w:pPr>
                <w:pStyle w:val="TOC1"/>
                <w:tabs>
                  <w:tab w:val="right" w:leader="dot" w:pos="8630"/>
                </w:tabs>
                <w:rPr>
                  <w:rFonts w:eastAsiaTheme="minorEastAsia"/>
                  <w:b w:val="0"/>
                  <w:bCs w:val="0"/>
                  <w:i w:val="0"/>
                  <w:iCs w:val="0"/>
                  <w:noProof/>
                  <w:kern w:val="2"/>
                  <w:lang w:val="en-IN" w:eastAsia="en-GB"/>
                  <w14:ligatures w14:val="standardContextual"/>
                </w:rPr>
              </w:pPr>
              <w:hyperlink w:anchor="_Toc183470286" w:history="1">
                <w:r w:rsidRPr="003C40E2">
                  <w:rPr>
                    <w:rStyle w:val="Hyperlink"/>
                    <w:rFonts w:ascii="IBM Plex Sans" w:hAnsi="IBM Plex Sans"/>
                    <w:noProof/>
                  </w:rPr>
                  <w:t>2. E-Commerce Use Case Implementation</w:t>
                </w:r>
                <w:r>
                  <w:rPr>
                    <w:noProof/>
                    <w:webHidden/>
                  </w:rPr>
                  <w:tab/>
                </w:r>
                <w:r>
                  <w:rPr>
                    <w:noProof/>
                    <w:webHidden/>
                  </w:rPr>
                  <w:fldChar w:fldCharType="begin"/>
                </w:r>
                <w:r>
                  <w:rPr>
                    <w:noProof/>
                    <w:webHidden/>
                  </w:rPr>
                  <w:instrText xml:space="preserve"> PAGEREF _Toc183470286 \h </w:instrText>
                </w:r>
                <w:r>
                  <w:rPr>
                    <w:noProof/>
                    <w:webHidden/>
                  </w:rPr>
                </w:r>
                <w:r>
                  <w:rPr>
                    <w:noProof/>
                    <w:webHidden/>
                  </w:rPr>
                  <w:fldChar w:fldCharType="separate"/>
                </w:r>
                <w:r>
                  <w:rPr>
                    <w:noProof/>
                    <w:webHidden/>
                  </w:rPr>
                  <w:t>3</w:t>
                </w:r>
                <w:r>
                  <w:rPr>
                    <w:noProof/>
                    <w:webHidden/>
                  </w:rPr>
                  <w:fldChar w:fldCharType="end"/>
                </w:r>
              </w:hyperlink>
            </w:p>
            <w:p w14:paraId="3E50C8C5" w14:textId="600D43BD"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87" w:history="1">
                <w:r w:rsidRPr="003C40E2">
                  <w:rPr>
                    <w:rStyle w:val="Hyperlink"/>
                    <w:rFonts w:ascii="IBM Plex Sans" w:hAnsi="IBM Plex Sans"/>
                    <w:noProof/>
                  </w:rPr>
                  <w:t>2.1 Overview</w:t>
                </w:r>
                <w:r>
                  <w:rPr>
                    <w:noProof/>
                    <w:webHidden/>
                  </w:rPr>
                  <w:tab/>
                </w:r>
                <w:r>
                  <w:rPr>
                    <w:noProof/>
                    <w:webHidden/>
                  </w:rPr>
                  <w:fldChar w:fldCharType="begin"/>
                </w:r>
                <w:r>
                  <w:rPr>
                    <w:noProof/>
                    <w:webHidden/>
                  </w:rPr>
                  <w:instrText xml:space="preserve"> PAGEREF _Toc183470287 \h </w:instrText>
                </w:r>
                <w:r>
                  <w:rPr>
                    <w:noProof/>
                    <w:webHidden/>
                  </w:rPr>
                </w:r>
                <w:r>
                  <w:rPr>
                    <w:noProof/>
                    <w:webHidden/>
                  </w:rPr>
                  <w:fldChar w:fldCharType="separate"/>
                </w:r>
                <w:r>
                  <w:rPr>
                    <w:noProof/>
                    <w:webHidden/>
                  </w:rPr>
                  <w:t>3</w:t>
                </w:r>
                <w:r>
                  <w:rPr>
                    <w:noProof/>
                    <w:webHidden/>
                  </w:rPr>
                  <w:fldChar w:fldCharType="end"/>
                </w:r>
              </w:hyperlink>
            </w:p>
            <w:p w14:paraId="3C32F785" w14:textId="26449929"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88" w:history="1">
                <w:r w:rsidRPr="003C40E2">
                  <w:rPr>
                    <w:rStyle w:val="Hyperlink"/>
                    <w:rFonts w:ascii="IBM Plex Sans" w:hAnsi="IBM Plex Sans"/>
                    <w:noProof/>
                  </w:rPr>
                  <w:t>2.2 ERD Diagram</w:t>
                </w:r>
                <w:r>
                  <w:rPr>
                    <w:noProof/>
                    <w:webHidden/>
                  </w:rPr>
                  <w:tab/>
                </w:r>
                <w:r>
                  <w:rPr>
                    <w:noProof/>
                    <w:webHidden/>
                  </w:rPr>
                  <w:fldChar w:fldCharType="begin"/>
                </w:r>
                <w:r>
                  <w:rPr>
                    <w:noProof/>
                    <w:webHidden/>
                  </w:rPr>
                  <w:instrText xml:space="preserve"> PAGEREF _Toc183470288 \h </w:instrText>
                </w:r>
                <w:r>
                  <w:rPr>
                    <w:noProof/>
                    <w:webHidden/>
                  </w:rPr>
                </w:r>
                <w:r>
                  <w:rPr>
                    <w:noProof/>
                    <w:webHidden/>
                  </w:rPr>
                  <w:fldChar w:fldCharType="separate"/>
                </w:r>
                <w:r>
                  <w:rPr>
                    <w:noProof/>
                    <w:webHidden/>
                  </w:rPr>
                  <w:t>3</w:t>
                </w:r>
                <w:r>
                  <w:rPr>
                    <w:noProof/>
                    <w:webHidden/>
                  </w:rPr>
                  <w:fldChar w:fldCharType="end"/>
                </w:r>
              </w:hyperlink>
            </w:p>
            <w:p w14:paraId="0A4E8DE0" w14:textId="1F40F255"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89" w:history="1">
                <w:r w:rsidRPr="003C40E2">
                  <w:rPr>
                    <w:rStyle w:val="Hyperlink"/>
                    <w:rFonts w:ascii="IBM Plex Sans" w:hAnsi="IBM Plex Sans"/>
                    <w:noProof/>
                  </w:rPr>
                  <w:t>2.3 Data Flow Overview</w:t>
                </w:r>
                <w:r>
                  <w:rPr>
                    <w:noProof/>
                    <w:webHidden/>
                  </w:rPr>
                  <w:tab/>
                </w:r>
                <w:r>
                  <w:rPr>
                    <w:noProof/>
                    <w:webHidden/>
                  </w:rPr>
                  <w:fldChar w:fldCharType="begin"/>
                </w:r>
                <w:r>
                  <w:rPr>
                    <w:noProof/>
                    <w:webHidden/>
                  </w:rPr>
                  <w:instrText xml:space="preserve"> PAGEREF _Toc183470289 \h </w:instrText>
                </w:r>
                <w:r>
                  <w:rPr>
                    <w:noProof/>
                    <w:webHidden/>
                  </w:rPr>
                </w:r>
                <w:r>
                  <w:rPr>
                    <w:noProof/>
                    <w:webHidden/>
                  </w:rPr>
                  <w:fldChar w:fldCharType="separate"/>
                </w:r>
                <w:r>
                  <w:rPr>
                    <w:noProof/>
                    <w:webHidden/>
                  </w:rPr>
                  <w:t>4</w:t>
                </w:r>
                <w:r>
                  <w:rPr>
                    <w:noProof/>
                    <w:webHidden/>
                  </w:rPr>
                  <w:fldChar w:fldCharType="end"/>
                </w:r>
              </w:hyperlink>
            </w:p>
            <w:p w14:paraId="02A574B7" w14:textId="6830B694"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90" w:history="1">
                <w:r w:rsidRPr="003C40E2">
                  <w:rPr>
                    <w:rStyle w:val="Hyperlink"/>
                    <w:rFonts w:ascii="IBM Plex Sans" w:hAnsi="IBM Plex Sans"/>
                    <w:noProof/>
                  </w:rPr>
                  <w:t>2.4 Prerequisites</w:t>
                </w:r>
                <w:r>
                  <w:rPr>
                    <w:noProof/>
                    <w:webHidden/>
                  </w:rPr>
                  <w:tab/>
                </w:r>
                <w:r>
                  <w:rPr>
                    <w:noProof/>
                    <w:webHidden/>
                  </w:rPr>
                  <w:fldChar w:fldCharType="begin"/>
                </w:r>
                <w:r>
                  <w:rPr>
                    <w:noProof/>
                    <w:webHidden/>
                  </w:rPr>
                  <w:instrText xml:space="preserve"> PAGEREF _Toc183470290 \h </w:instrText>
                </w:r>
                <w:r>
                  <w:rPr>
                    <w:noProof/>
                    <w:webHidden/>
                  </w:rPr>
                </w:r>
                <w:r>
                  <w:rPr>
                    <w:noProof/>
                    <w:webHidden/>
                  </w:rPr>
                  <w:fldChar w:fldCharType="separate"/>
                </w:r>
                <w:r>
                  <w:rPr>
                    <w:noProof/>
                    <w:webHidden/>
                  </w:rPr>
                  <w:t>5</w:t>
                </w:r>
                <w:r>
                  <w:rPr>
                    <w:noProof/>
                    <w:webHidden/>
                  </w:rPr>
                  <w:fldChar w:fldCharType="end"/>
                </w:r>
              </w:hyperlink>
            </w:p>
            <w:p w14:paraId="207B35A6" w14:textId="7A53CBCA" w:rsidR="00EE1434" w:rsidRDefault="00EE1434">
              <w:pPr>
                <w:pStyle w:val="TOC3"/>
                <w:tabs>
                  <w:tab w:val="right" w:leader="dot" w:pos="8630"/>
                </w:tabs>
                <w:rPr>
                  <w:rFonts w:eastAsiaTheme="minorEastAsia"/>
                  <w:noProof/>
                  <w:kern w:val="2"/>
                  <w:sz w:val="24"/>
                  <w:szCs w:val="24"/>
                  <w:lang w:val="en-IN" w:eastAsia="en-GB"/>
                  <w14:ligatures w14:val="standardContextual"/>
                </w:rPr>
              </w:pPr>
              <w:hyperlink w:anchor="_Toc183470291" w:history="1">
                <w:r w:rsidRPr="003C40E2">
                  <w:rPr>
                    <w:rStyle w:val="Hyperlink"/>
                    <w:rFonts w:ascii="IBM Plex Sans" w:hAnsi="IBM Plex Sans"/>
                    <w:i/>
                    <w:noProof/>
                  </w:rPr>
                  <w:t>Other Execution Methods</w:t>
                </w:r>
                <w:r>
                  <w:rPr>
                    <w:noProof/>
                    <w:webHidden/>
                  </w:rPr>
                  <w:tab/>
                </w:r>
                <w:r>
                  <w:rPr>
                    <w:noProof/>
                    <w:webHidden/>
                  </w:rPr>
                  <w:fldChar w:fldCharType="begin"/>
                </w:r>
                <w:r>
                  <w:rPr>
                    <w:noProof/>
                    <w:webHidden/>
                  </w:rPr>
                  <w:instrText xml:space="preserve"> PAGEREF _Toc183470291 \h </w:instrText>
                </w:r>
                <w:r>
                  <w:rPr>
                    <w:noProof/>
                    <w:webHidden/>
                  </w:rPr>
                </w:r>
                <w:r>
                  <w:rPr>
                    <w:noProof/>
                    <w:webHidden/>
                  </w:rPr>
                  <w:fldChar w:fldCharType="separate"/>
                </w:r>
                <w:r>
                  <w:rPr>
                    <w:noProof/>
                    <w:webHidden/>
                  </w:rPr>
                  <w:t>5</w:t>
                </w:r>
                <w:r>
                  <w:rPr>
                    <w:noProof/>
                    <w:webHidden/>
                  </w:rPr>
                  <w:fldChar w:fldCharType="end"/>
                </w:r>
              </w:hyperlink>
            </w:p>
            <w:p w14:paraId="31C5D861" w14:textId="085DF58D" w:rsidR="00EE1434" w:rsidRDefault="00EE1434">
              <w:pPr>
                <w:pStyle w:val="TOC1"/>
                <w:tabs>
                  <w:tab w:val="right" w:leader="dot" w:pos="8630"/>
                </w:tabs>
                <w:rPr>
                  <w:rFonts w:eastAsiaTheme="minorEastAsia"/>
                  <w:b w:val="0"/>
                  <w:bCs w:val="0"/>
                  <w:i w:val="0"/>
                  <w:iCs w:val="0"/>
                  <w:noProof/>
                  <w:kern w:val="2"/>
                  <w:lang w:val="en-IN" w:eastAsia="en-GB"/>
                  <w14:ligatures w14:val="standardContextual"/>
                </w:rPr>
              </w:pPr>
              <w:hyperlink w:anchor="_Toc183470292" w:history="1">
                <w:r w:rsidRPr="003C40E2">
                  <w:rPr>
                    <w:rStyle w:val="Hyperlink"/>
                    <w:rFonts w:ascii="IBM Plex Sans" w:hAnsi="IBM Plex Sans"/>
                    <w:noProof/>
                  </w:rPr>
                  <w:t>3. E-commerce Technical Details</w:t>
                </w:r>
                <w:r>
                  <w:rPr>
                    <w:noProof/>
                    <w:webHidden/>
                  </w:rPr>
                  <w:tab/>
                </w:r>
                <w:r>
                  <w:rPr>
                    <w:noProof/>
                    <w:webHidden/>
                  </w:rPr>
                  <w:fldChar w:fldCharType="begin"/>
                </w:r>
                <w:r>
                  <w:rPr>
                    <w:noProof/>
                    <w:webHidden/>
                  </w:rPr>
                  <w:instrText xml:space="preserve"> PAGEREF _Toc183470292 \h </w:instrText>
                </w:r>
                <w:r>
                  <w:rPr>
                    <w:noProof/>
                    <w:webHidden/>
                  </w:rPr>
                </w:r>
                <w:r>
                  <w:rPr>
                    <w:noProof/>
                    <w:webHidden/>
                  </w:rPr>
                  <w:fldChar w:fldCharType="separate"/>
                </w:r>
                <w:r>
                  <w:rPr>
                    <w:noProof/>
                    <w:webHidden/>
                  </w:rPr>
                  <w:t>6</w:t>
                </w:r>
                <w:r>
                  <w:rPr>
                    <w:noProof/>
                    <w:webHidden/>
                  </w:rPr>
                  <w:fldChar w:fldCharType="end"/>
                </w:r>
              </w:hyperlink>
            </w:p>
            <w:p w14:paraId="0E0ADF20" w14:textId="1E812D12"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93" w:history="1">
                <w:r w:rsidRPr="003C40E2">
                  <w:rPr>
                    <w:rStyle w:val="Hyperlink"/>
                    <w:rFonts w:ascii="IBM Plex Sans" w:hAnsi="IBM Plex Sans"/>
                    <w:noProof/>
                  </w:rPr>
                  <w:t>3.1 Data Tables and Structure</w:t>
                </w:r>
                <w:r>
                  <w:rPr>
                    <w:noProof/>
                    <w:webHidden/>
                  </w:rPr>
                  <w:tab/>
                </w:r>
                <w:r>
                  <w:rPr>
                    <w:noProof/>
                    <w:webHidden/>
                  </w:rPr>
                  <w:fldChar w:fldCharType="begin"/>
                </w:r>
                <w:r>
                  <w:rPr>
                    <w:noProof/>
                    <w:webHidden/>
                  </w:rPr>
                  <w:instrText xml:space="preserve"> PAGEREF _Toc183470293 \h </w:instrText>
                </w:r>
                <w:r>
                  <w:rPr>
                    <w:noProof/>
                    <w:webHidden/>
                  </w:rPr>
                </w:r>
                <w:r>
                  <w:rPr>
                    <w:noProof/>
                    <w:webHidden/>
                  </w:rPr>
                  <w:fldChar w:fldCharType="separate"/>
                </w:r>
                <w:r>
                  <w:rPr>
                    <w:noProof/>
                    <w:webHidden/>
                  </w:rPr>
                  <w:t>6</w:t>
                </w:r>
                <w:r>
                  <w:rPr>
                    <w:noProof/>
                    <w:webHidden/>
                  </w:rPr>
                  <w:fldChar w:fldCharType="end"/>
                </w:r>
              </w:hyperlink>
            </w:p>
            <w:p w14:paraId="521E98F4" w14:textId="720D3C2B"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94" w:history="1">
                <w:r w:rsidRPr="003C40E2">
                  <w:rPr>
                    <w:rStyle w:val="Hyperlink"/>
                    <w:rFonts w:ascii="IBM Plex Sans" w:hAnsi="IBM Plex Sans"/>
                    <w:noProof/>
                  </w:rPr>
                  <w:t>3.2 Code Breakdown: Iceberg and Delta Lake Integration</w:t>
                </w:r>
                <w:r>
                  <w:rPr>
                    <w:noProof/>
                    <w:webHidden/>
                  </w:rPr>
                  <w:tab/>
                </w:r>
                <w:r>
                  <w:rPr>
                    <w:noProof/>
                    <w:webHidden/>
                  </w:rPr>
                  <w:fldChar w:fldCharType="begin"/>
                </w:r>
                <w:r>
                  <w:rPr>
                    <w:noProof/>
                    <w:webHidden/>
                  </w:rPr>
                  <w:instrText xml:space="preserve"> PAGEREF _Toc183470294 \h </w:instrText>
                </w:r>
                <w:r>
                  <w:rPr>
                    <w:noProof/>
                    <w:webHidden/>
                  </w:rPr>
                </w:r>
                <w:r>
                  <w:rPr>
                    <w:noProof/>
                    <w:webHidden/>
                  </w:rPr>
                  <w:fldChar w:fldCharType="separate"/>
                </w:r>
                <w:r>
                  <w:rPr>
                    <w:noProof/>
                    <w:webHidden/>
                  </w:rPr>
                  <w:t>7</w:t>
                </w:r>
                <w:r>
                  <w:rPr>
                    <w:noProof/>
                    <w:webHidden/>
                  </w:rPr>
                  <w:fldChar w:fldCharType="end"/>
                </w:r>
              </w:hyperlink>
            </w:p>
            <w:p w14:paraId="7ADEA9AB" w14:textId="3ED08747" w:rsidR="00EE1434" w:rsidRDefault="00EE1434">
              <w:pPr>
                <w:pStyle w:val="TOC3"/>
                <w:tabs>
                  <w:tab w:val="right" w:leader="dot" w:pos="8630"/>
                </w:tabs>
                <w:rPr>
                  <w:rFonts w:eastAsiaTheme="minorEastAsia"/>
                  <w:noProof/>
                  <w:kern w:val="2"/>
                  <w:sz w:val="24"/>
                  <w:szCs w:val="24"/>
                  <w:lang w:val="en-IN" w:eastAsia="en-GB"/>
                  <w14:ligatures w14:val="standardContextual"/>
                </w:rPr>
              </w:pPr>
              <w:hyperlink w:anchor="_Toc183470295" w:history="1">
                <w:r w:rsidRPr="003C40E2">
                  <w:rPr>
                    <w:rStyle w:val="Hyperlink"/>
                    <w:b/>
                    <w:noProof/>
                  </w:rPr>
                  <w:t>3.2.1 Iceberg Data Load - Code Overview</w:t>
                </w:r>
                <w:r>
                  <w:rPr>
                    <w:noProof/>
                    <w:webHidden/>
                  </w:rPr>
                  <w:tab/>
                </w:r>
                <w:r>
                  <w:rPr>
                    <w:noProof/>
                    <w:webHidden/>
                  </w:rPr>
                  <w:fldChar w:fldCharType="begin"/>
                </w:r>
                <w:r>
                  <w:rPr>
                    <w:noProof/>
                    <w:webHidden/>
                  </w:rPr>
                  <w:instrText xml:space="preserve"> PAGEREF _Toc183470295 \h </w:instrText>
                </w:r>
                <w:r>
                  <w:rPr>
                    <w:noProof/>
                    <w:webHidden/>
                  </w:rPr>
                </w:r>
                <w:r>
                  <w:rPr>
                    <w:noProof/>
                    <w:webHidden/>
                  </w:rPr>
                  <w:fldChar w:fldCharType="separate"/>
                </w:r>
                <w:r>
                  <w:rPr>
                    <w:noProof/>
                    <w:webHidden/>
                  </w:rPr>
                  <w:t>7</w:t>
                </w:r>
                <w:r>
                  <w:rPr>
                    <w:noProof/>
                    <w:webHidden/>
                  </w:rPr>
                  <w:fldChar w:fldCharType="end"/>
                </w:r>
              </w:hyperlink>
            </w:p>
            <w:p w14:paraId="4B200DF1" w14:textId="0C80E5F5" w:rsidR="00EE1434" w:rsidRDefault="00EE1434">
              <w:pPr>
                <w:pStyle w:val="TOC3"/>
                <w:tabs>
                  <w:tab w:val="right" w:leader="dot" w:pos="8630"/>
                </w:tabs>
                <w:rPr>
                  <w:rFonts w:eastAsiaTheme="minorEastAsia"/>
                  <w:noProof/>
                  <w:kern w:val="2"/>
                  <w:sz w:val="24"/>
                  <w:szCs w:val="24"/>
                  <w:lang w:val="en-IN" w:eastAsia="en-GB"/>
                  <w14:ligatures w14:val="standardContextual"/>
                </w:rPr>
              </w:pPr>
              <w:hyperlink w:anchor="_Toc183470296" w:history="1">
                <w:r w:rsidRPr="003C40E2">
                  <w:rPr>
                    <w:rStyle w:val="Hyperlink"/>
                    <w:b/>
                    <w:noProof/>
                  </w:rPr>
                  <w:t>3.2.2 Realtime Data Load generator - Code Overview</w:t>
                </w:r>
                <w:r>
                  <w:rPr>
                    <w:noProof/>
                    <w:webHidden/>
                  </w:rPr>
                  <w:tab/>
                </w:r>
                <w:r>
                  <w:rPr>
                    <w:noProof/>
                    <w:webHidden/>
                  </w:rPr>
                  <w:fldChar w:fldCharType="begin"/>
                </w:r>
                <w:r>
                  <w:rPr>
                    <w:noProof/>
                    <w:webHidden/>
                  </w:rPr>
                  <w:instrText xml:space="preserve"> PAGEREF _Toc183470296 \h </w:instrText>
                </w:r>
                <w:r>
                  <w:rPr>
                    <w:noProof/>
                    <w:webHidden/>
                  </w:rPr>
                </w:r>
                <w:r>
                  <w:rPr>
                    <w:noProof/>
                    <w:webHidden/>
                  </w:rPr>
                  <w:fldChar w:fldCharType="separate"/>
                </w:r>
                <w:r>
                  <w:rPr>
                    <w:noProof/>
                    <w:webHidden/>
                  </w:rPr>
                  <w:t>8</w:t>
                </w:r>
                <w:r>
                  <w:rPr>
                    <w:noProof/>
                    <w:webHidden/>
                  </w:rPr>
                  <w:fldChar w:fldCharType="end"/>
                </w:r>
              </w:hyperlink>
            </w:p>
            <w:p w14:paraId="27C3A3F4" w14:textId="00CC39DE" w:rsidR="00EE1434" w:rsidRDefault="00EE1434">
              <w:pPr>
                <w:pStyle w:val="TOC3"/>
                <w:tabs>
                  <w:tab w:val="right" w:leader="dot" w:pos="8630"/>
                </w:tabs>
                <w:rPr>
                  <w:rFonts w:eastAsiaTheme="minorEastAsia"/>
                  <w:noProof/>
                  <w:kern w:val="2"/>
                  <w:sz w:val="24"/>
                  <w:szCs w:val="24"/>
                  <w:lang w:val="en-IN" w:eastAsia="en-GB"/>
                  <w14:ligatures w14:val="standardContextual"/>
                </w:rPr>
              </w:pPr>
              <w:hyperlink w:anchor="_Toc183470297" w:history="1">
                <w:r w:rsidRPr="003C40E2">
                  <w:rPr>
                    <w:rStyle w:val="Hyperlink"/>
                    <w:b/>
                    <w:noProof/>
                  </w:rPr>
                  <w:t>3.2.3 Deltalake Data Load - Code Overview</w:t>
                </w:r>
                <w:r>
                  <w:rPr>
                    <w:noProof/>
                    <w:webHidden/>
                  </w:rPr>
                  <w:tab/>
                </w:r>
                <w:r>
                  <w:rPr>
                    <w:noProof/>
                    <w:webHidden/>
                  </w:rPr>
                  <w:fldChar w:fldCharType="begin"/>
                </w:r>
                <w:r>
                  <w:rPr>
                    <w:noProof/>
                    <w:webHidden/>
                  </w:rPr>
                  <w:instrText xml:space="preserve"> PAGEREF _Toc183470297 \h </w:instrText>
                </w:r>
                <w:r>
                  <w:rPr>
                    <w:noProof/>
                    <w:webHidden/>
                  </w:rPr>
                </w:r>
                <w:r>
                  <w:rPr>
                    <w:noProof/>
                    <w:webHidden/>
                  </w:rPr>
                  <w:fldChar w:fldCharType="separate"/>
                </w:r>
                <w:r>
                  <w:rPr>
                    <w:noProof/>
                    <w:webHidden/>
                  </w:rPr>
                  <w:t>8</w:t>
                </w:r>
                <w:r>
                  <w:rPr>
                    <w:noProof/>
                    <w:webHidden/>
                  </w:rPr>
                  <w:fldChar w:fldCharType="end"/>
                </w:r>
              </w:hyperlink>
            </w:p>
            <w:p w14:paraId="17759379" w14:textId="08076D73" w:rsidR="00EE1434" w:rsidRDefault="00EE1434">
              <w:pPr>
                <w:pStyle w:val="TOC1"/>
                <w:tabs>
                  <w:tab w:val="right" w:leader="dot" w:pos="8630"/>
                </w:tabs>
                <w:rPr>
                  <w:rFonts w:eastAsiaTheme="minorEastAsia"/>
                  <w:b w:val="0"/>
                  <w:bCs w:val="0"/>
                  <w:i w:val="0"/>
                  <w:iCs w:val="0"/>
                  <w:noProof/>
                  <w:kern w:val="2"/>
                  <w:lang w:val="en-IN" w:eastAsia="en-GB"/>
                  <w14:ligatures w14:val="standardContextual"/>
                </w:rPr>
              </w:pPr>
              <w:hyperlink w:anchor="_Toc183470298" w:history="1">
                <w:r w:rsidRPr="003C40E2">
                  <w:rPr>
                    <w:rStyle w:val="Hyperlink"/>
                    <w:rFonts w:ascii="IBM Plex Sans" w:hAnsi="IBM Plex Sans"/>
                    <w:noProof/>
                    <w:lang w:val="en-IN"/>
                  </w:rPr>
                  <w:t xml:space="preserve">4 </w:t>
                </w:r>
                <w:r w:rsidRPr="003C40E2">
                  <w:rPr>
                    <w:rStyle w:val="Hyperlink"/>
                    <w:rFonts w:ascii="IBM Plex Sans" w:hAnsi="IBM Plex Sans"/>
                    <w:noProof/>
                  </w:rPr>
                  <w:t>Analytics with Cognos and Watsonx.data Integration</w:t>
                </w:r>
                <w:r>
                  <w:rPr>
                    <w:noProof/>
                    <w:webHidden/>
                  </w:rPr>
                  <w:tab/>
                </w:r>
                <w:r>
                  <w:rPr>
                    <w:noProof/>
                    <w:webHidden/>
                  </w:rPr>
                  <w:fldChar w:fldCharType="begin"/>
                </w:r>
                <w:r>
                  <w:rPr>
                    <w:noProof/>
                    <w:webHidden/>
                  </w:rPr>
                  <w:instrText xml:space="preserve"> PAGEREF _Toc183470298 \h </w:instrText>
                </w:r>
                <w:r>
                  <w:rPr>
                    <w:noProof/>
                    <w:webHidden/>
                  </w:rPr>
                </w:r>
                <w:r>
                  <w:rPr>
                    <w:noProof/>
                    <w:webHidden/>
                  </w:rPr>
                  <w:fldChar w:fldCharType="separate"/>
                </w:r>
                <w:r>
                  <w:rPr>
                    <w:noProof/>
                    <w:webHidden/>
                  </w:rPr>
                  <w:t>9</w:t>
                </w:r>
                <w:r>
                  <w:rPr>
                    <w:noProof/>
                    <w:webHidden/>
                  </w:rPr>
                  <w:fldChar w:fldCharType="end"/>
                </w:r>
              </w:hyperlink>
            </w:p>
            <w:p w14:paraId="14A7358B" w14:textId="1B27507F"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299" w:history="1">
                <w:r w:rsidRPr="003C40E2">
                  <w:rPr>
                    <w:rStyle w:val="Hyperlink"/>
                    <w:noProof/>
                    <w:lang w:val="en-IN"/>
                  </w:rPr>
                  <w:t>4.1 Integrating Cognos with Watsonx.data</w:t>
                </w:r>
                <w:r>
                  <w:rPr>
                    <w:noProof/>
                    <w:webHidden/>
                  </w:rPr>
                  <w:tab/>
                </w:r>
                <w:r>
                  <w:rPr>
                    <w:noProof/>
                    <w:webHidden/>
                  </w:rPr>
                  <w:fldChar w:fldCharType="begin"/>
                </w:r>
                <w:r>
                  <w:rPr>
                    <w:noProof/>
                    <w:webHidden/>
                  </w:rPr>
                  <w:instrText xml:space="preserve"> PAGEREF _Toc183470299 \h </w:instrText>
                </w:r>
                <w:r>
                  <w:rPr>
                    <w:noProof/>
                    <w:webHidden/>
                  </w:rPr>
                </w:r>
                <w:r>
                  <w:rPr>
                    <w:noProof/>
                    <w:webHidden/>
                  </w:rPr>
                  <w:fldChar w:fldCharType="separate"/>
                </w:r>
                <w:r>
                  <w:rPr>
                    <w:noProof/>
                    <w:webHidden/>
                  </w:rPr>
                  <w:t>9</w:t>
                </w:r>
                <w:r>
                  <w:rPr>
                    <w:noProof/>
                    <w:webHidden/>
                  </w:rPr>
                  <w:fldChar w:fldCharType="end"/>
                </w:r>
              </w:hyperlink>
            </w:p>
            <w:p w14:paraId="6DBDCBE4" w14:textId="7F2168FF" w:rsidR="00EE1434" w:rsidRDefault="00EE1434">
              <w:pPr>
                <w:pStyle w:val="TOC2"/>
                <w:tabs>
                  <w:tab w:val="right" w:leader="dot" w:pos="8630"/>
                </w:tabs>
                <w:rPr>
                  <w:rFonts w:eastAsiaTheme="minorEastAsia"/>
                  <w:b w:val="0"/>
                  <w:bCs w:val="0"/>
                  <w:noProof/>
                  <w:kern w:val="2"/>
                  <w:sz w:val="24"/>
                  <w:szCs w:val="24"/>
                  <w:lang w:val="en-IN" w:eastAsia="en-GB"/>
                  <w14:ligatures w14:val="standardContextual"/>
                </w:rPr>
              </w:pPr>
              <w:hyperlink w:anchor="_Toc183470300" w:history="1">
                <w:r w:rsidRPr="003C40E2">
                  <w:rPr>
                    <w:rStyle w:val="Hyperlink"/>
                    <w:noProof/>
                    <w:lang w:val="en-IN"/>
                  </w:rPr>
                  <w:t>4.2 Product Profile Dashboard</w:t>
                </w:r>
                <w:r>
                  <w:rPr>
                    <w:noProof/>
                    <w:webHidden/>
                  </w:rPr>
                  <w:tab/>
                </w:r>
                <w:r>
                  <w:rPr>
                    <w:noProof/>
                    <w:webHidden/>
                  </w:rPr>
                  <w:fldChar w:fldCharType="begin"/>
                </w:r>
                <w:r>
                  <w:rPr>
                    <w:noProof/>
                    <w:webHidden/>
                  </w:rPr>
                  <w:instrText xml:space="preserve"> PAGEREF _Toc183470300 \h </w:instrText>
                </w:r>
                <w:r>
                  <w:rPr>
                    <w:noProof/>
                    <w:webHidden/>
                  </w:rPr>
                </w:r>
                <w:r>
                  <w:rPr>
                    <w:noProof/>
                    <w:webHidden/>
                  </w:rPr>
                  <w:fldChar w:fldCharType="separate"/>
                </w:r>
                <w:r>
                  <w:rPr>
                    <w:noProof/>
                    <w:webHidden/>
                  </w:rPr>
                  <w:t>10</w:t>
                </w:r>
                <w:r>
                  <w:rPr>
                    <w:noProof/>
                    <w:webHidden/>
                  </w:rPr>
                  <w:fldChar w:fldCharType="end"/>
                </w:r>
              </w:hyperlink>
            </w:p>
            <w:p w14:paraId="2543E516" w14:textId="101251DC" w:rsidR="00EE1434" w:rsidRDefault="00EE1434">
              <w:pPr>
                <w:pStyle w:val="TOC1"/>
                <w:tabs>
                  <w:tab w:val="right" w:leader="dot" w:pos="8630"/>
                </w:tabs>
                <w:rPr>
                  <w:rFonts w:eastAsiaTheme="minorEastAsia"/>
                  <w:b w:val="0"/>
                  <w:bCs w:val="0"/>
                  <w:i w:val="0"/>
                  <w:iCs w:val="0"/>
                  <w:noProof/>
                  <w:kern w:val="2"/>
                  <w:lang w:val="en-IN" w:eastAsia="en-GB"/>
                  <w14:ligatures w14:val="standardContextual"/>
                </w:rPr>
              </w:pPr>
              <w:hyperlink w:anchor="_Toc183470301" w:history="1">
                <w:r w:rsidRPr="003C40E2">
                  <w:rPr>
                    <w:rStyle w:val="Hyperlink"/>
                    <w:noProof/>
                  </w:rPr>
                  <w:t>5 Conclusion</w:t>
                </w:r>
                <w:r>
                  <w:rPr>
                    <w:noProof/>
                    <w:webHidden/>
                  </w:rPr>
                  <w:tab/>
                </w:r>
                <w:r>
                  <w:rPr>
                    <w:noProof/>
                    <w:webHidden/>
                  </w:rPr>
                  <w:fldChar w:fldCharType="begin"/>
                </w:r>
                <w:r>
                  <w:rPr>
                    <w:noProof/>
                    <w:webHidden/>
                  </w:rPr>
                  <w:instrText xml:space="preserve"> PAGEREF _Toc183470301 \h </w:instrText>
                </w:r>
                <w:r>
                  <w:rPr>
                    <w:noProof/>
                    <w:webHidden/>
                  </w:rPr>
                </w:r>
                <w:r>
                  <w:rPr>
                    <w:noProof/>
                    <w:webHidden/>
                  </w:rPr>
                  <w:fldChar w:fldCharType="separate"/>
                </w:r>
                <w:r>
                  <w:rPr>
                    <w:noProof/>
                    <w:webHidden/>
                  </w:rPr>
                  <w:t>11</w:t>
                </w:r>
                <w:r>
                  <w:rPr>
                    <w:noProof/>
                    <w:webHidden/>
                  </w:rPr>
                  <w:fldChar w:fldCharType="end"/>
                </w:r>
              </w:hyperlink>
            </w:p>
            <w:p w14:paraId="1788D6BF" w14:textId="38B84F30" w:rsidR="00FB6F6F" w:rsidRPr="009D18F2" w:rsidRDefault="00FB6F6F">
              <w:pPr>
                <w:rPr>
                  <w:rFonts w:ascii="IBM Plex Sans" w:hAnsi="IBM Plex Sans"/>
                </w:rPr>
              </w:pPr>
              <w:r w:rsidRPr="009D18F2">
                <w:rPr>
                  <w:rFonts w:ascii="IBM Plex Sans" w:hAnsi="IBM Plex Sans"/>
                  <w:noProof/>
                </w:rPr>
                <w:fldChar w:fldCharType="end"/>
              </w:r>
            </w:p>
          </w:sdtContent>
        </w:sdt>
        <w:p w14:paraId="3A825958" w14:textId="239D51C1" w:rsidR="00B75AFD" w:rsidRPr="00A6208A" w:rsidRDefault="00FB6F6F">
          <w:pPr>
            <w:rPr>
              <w:rFonts w:ascii="IBM Plex Sans" w:eastAsiaTheme="minorEastAsia" w:hAnsi="IBM Plex Sans"/>
              <w:sz w:val="22"/>
            </w:rPr>
          </w:pPr>
          <w:r w:rsidRPr="00A6208A">
            <w:rPr>
              <w:rFonts w:ascii="IBM Plex Sans" w:hAnsi="IBM Plex Sans"/>
            </w:rPr>
            <w:br w:type="page"/>
          </w:r>
        </w:p>
      </w:sdtContent>
    </w:sdt>
    <w:p w14:paraId="7255461D" w14:textId="4C6FC131" w:rsidR="001A67E9" w:rsidRDefault="00000000" w:rsidP="001A67E9">
      <w:pPr>
        <w:pStyle w:val="Heading1"/>
        <w:rPr>
          <w:rFonts w:ascii="IBM Plex Sans" w:hAnsi="IBM Plex Sans"/>
          <w:b/>
          <w:bCs w:val="0"/>
        </w:rPr>
      </w:pPr>
      <w:bookmarkStart w:id="0" w:name="_Toc183470283"/>
      <w:r w:rsidRPr="00A6208A">
        <w:rPr>
          <w:rFonts w:ascii="IBM Plex Sans" w:hAnsi="IBM Plex Sans"/>
          <w:b/>
          <w:bCs w:val="0"/>
        </w:rPr>
        <w:lastRenderedPageBreak/>
        <w:t xml:space="preserve">1. </w:t>
      </w:r>
      <w:r w:rsidR="001A67E9">
        <w:rPr>
          <w:rFonts w:ascii="IBM Plex Sans" w:hAnsi="IBM Plex Sans"/>
          <w:b/>
          <w:bCs w:val="0"/>
        </w:rPr>
        <w:t>Introduction</w:t>
      </w:r>
      <w:bookmarkEnd w:id="0"/>
    </w:p>
    <w:p w14:paraId="5E8E48B8" w14:textId="77777777" w:rsidR="001A67E9" w:rsidRPr="001A67E9" w:rsidRDefault="001A67E9" w:rsidP="001A67E9"/>
    <w:p w14:paraId="775E1415" w14:textId="55227A3F" w:rsidR="00922A24" w:rsidRDefault="00922A24" w:rsidP="001A67E9">
      <w:pPr>
        <w:rPr>
          <w:rFonts w:ascii="IBM Plex Sans" w:hAnsi="IBM Plex Sans"/>
          <w:lang w:val="en-IN"/>
        </w:rPr>
      </w:pPr>
      <w:r w:rsidRPr="00922A24">
        <w:rPr>
          <w:rFonts w:ascii="IBM Plex Sans" w:hAnsi="IBM Plex Sans"/>
          <w:lang w:val="en-IN"/>
        </w:rPr>
        <w:t xml:space="preserve">The architecture of watsonx.data is purpose-built to enable scalable, efficient, and cost-effective data management for modern </w:t>
      </w:r>
      <w:r w:rsidR="00A93678" w:rsidRPr="00922A24">
        <w:rPr>
          <w:rFonts w:ascii="IBM Plex Sans" w:hAnsi="IBM Plex Sans"/>
          <w:lang w:val="en-IN"/>
        </w:rPr>
        <w:t>workloads</w:t>
      </w:r>
      <w:r w:rsidR="00A93678">
        <w:rPr>
          <w:rFonts w:ascii="IBM Plex Sans" w:hAnsi="IBM Plex Sans"/>
          <w:lang w:val="en-IN"/>
        </w:rPr>
        <w:t>.</w:t>
      </w:r>
      <w:r w:rsidR="00A93678" w:rsidRPr="00922A24">
        <w:rPr>
          <w:rFonts w:ascii="IBM Plex Sans" w:hAnsi="IBM Plex Sans"/>
          <w:lang w:val="en-IN"/>
        </w:rPr>
        <w:t xml:space="preserve"> It</w:t>
      </w:r>
      <w:r w:rsidRPr="00922A24">
        <w:rPr>
          <w:rFonts w:ascii="IBM Plex Sans" w:hAnsi="IBM Plex Sans"/>
          <w:lang w:val="en-IN"/>
        </w:rPr>
        <w:t xml:space="preserve"> comprises three key layers</w:t>
      </w:r>
      <w:r>
        <w:rPr>
          <w:rFonts w:ascii="IBM Plex Sans" w:hAnsi="IBM Plex Sans"/>
          <w:lang w:val="en-IN"/>
        </w:rPr>
        <w:t>.</w:t>
      </w:r>
    </w:p>
    <w:p w14:paraId="30380C06" w14:textId="7B3367CE" w:rsidR="00922A24" w:rsidRDefault="00922A24" w:rsidP="00922A24">
      <w:pPr>
        <w:rPr>
          <w:rFonts w:ascii="IBM Plex Sans" w:hAnsi="IBM Plex Sans"/>
          <w:b/>
          <w:bCs/>
          <w:lang w:val="en-IN"/>
        </w:rPr>
      </w:pPr>
      <w:r w:rsidRPr="00922A24">
        <w:rPr>
          <w:rFonts w:ascii="IBM Plex Sans" w:hAnsi="IBM Plex Sans"/>
          <w:b/>
          <w:bCs/>
          <w:lang w:val="en-IN"/>
        </w:rPr>
        <w:t>1. Storage Layer</w:t>
      </w:r>
      <w:r>
        <w:rPr>
          <w:rFonts w:ascii="IBM Plex Sans" w:hAnsi="IBM Plex Sans"/>
          <w:b/>
          <w:bCs/>
          <w:lang w:val="en-IN"/>
        </w:rPr>
        <w:t xml:space="preserve">: </w:t>
      </w:r>
      <w:r w:rsidRPr="00922A24">
        <w:rPr>
          <w:rFonts w:ascii="IBM Plex Sans" w:hAnsi="IBM Plex Sans"/>
          <w:lang w:val="en-IN"/>
        </w:rPr>
        <w:t>The storage layer leverages low-cost object storage solutions, offering flexibility and scalability for storing large volumes of data. watsonx.data supports any S3-compatible storage, ensuring compatibility with popular cloud and on-premise solutions.</w:t>
      </w:r>
    </w:p>
    <w:p w14:paraId="04FF0720" w14:textId="3FF37DF1" w:rsidR="00922A24" w:rsidRPr="00922A24" w:rsidRDefault="00922A24" w:rsidP="00922A24">
      <w:pPr>
        <w:rPr>
          <w:rFonts w:ascii="IBM Plex Sans" w:hAnsi="IBM Plex Sans"/>
          <w:b/>
          <w:bCs/>
          <w:lang w:val="en-IN"/>
        </w:rPr>
      </w:pPr>
      <w:r w:rsidRPr="00922A24">
        <w:rPr>
          <w:rFonts w:ascii="IBM Plex Sans" w:hAnsi="IBM Plex Sans"/>
          <w:b/>
          <w:bCs/>
          <w:lang w:val="en-IN"/>
        </w:rPr>
        <w:t>2. Engines Layer</w:t>
      </w:r>
      <w:r>
        <w:rPr>
          <w:rFonts w:ascii="IBM Plex Sans" w:hAnsi="IBM Plex Sans"/>
          <w:b/>
          <w:bCs/>
          <w:lang w:val="en-IN"/>
        </w:rPr>
        <w:t xml:space="preserve">: </w:t>
      </w:r>
      <w:r w:rsidRPr="00922A24">
        <w:rPr>
          <w:rFonts w:ascii="IBM Plex Sans" w:hAnsi="IBM Plex Sans"/>
          <w:lang w:val="en-IN"/>
        </w:rPr>
        <w:t>watsonx.data integrates powerful compute engines, such as Apache Spark and Presto, which come native to the platform. Additionally, it supports Spark IAE (Integrated Analytics Engine) for enhanced processing. Beyond native engines, the architecture also supports other engines that can access the open storage buckets, providing flexibility for running diverse analytics workloads.</w:t>
      </w:r>
    </w:p>
    <w:p w14:paraId="21DD0B0D" w14:textId="4A6E2193" w:rsidR="001A67E9" w:rsidRPr="00922A24" w:rsidRDefault="00922A24" w:rsidP="00922A24">
      <w:pPr>
        <w:rPr>
          <w:rFonts w:ascii="IBM Plex Sans" w:hAnsi="IBM Plex Sans"/>
          <w:b/>
          <w:bCs/>
          <w:lang w:val="en-IN"/>
        </w:rPr>
      </w:pPr>
      <w:r w:rsidRPr="00922A24">
        <w:rPr>
          <w:rFonts w:ascii="IBM Plex Sans" w:hAnsi="IBM Plex Sans"/>
          <w:b/>
          <w:bCs/>
          <w:lang w:val="en-IN"/>
        </w:rPr>
        <w:t>3. Metadata Layer</w:t>
      </w:r>
      <w:r>
        <w:rPr>
          <w:rFonts w:ascii="IBM Plex Sans" w:hAnsi="IBM Plex Sans"/>
          <w:b/>
          <w:bCs/>
          <w:lang w:val="en-IN"/>
        </w:rPr>
        <w:t xml:space="preserve">: </w:t>
      </w:r>
      <w:r w:rsidRPr="00922A24">
        <w:rPr>
          <w:rFonts w:ascii="IBM Plex Sans" w:hAnsi="IBM Plex Sans"/>
          <w:lang w:val="en-IN"/>
        </w:rPr>
        <w:t>Moving further up the stack, the metadata store plays a critical role in the watsonx.data lakehouse architecture. It ensures that all query engines have a consistent view of the data being managed in the lakehouse storage. The metadata layer enables the implementation of open table formats that drive transactional consistency, schema evolution, and data versioning</w:t>
      </w:r>
      <w:r w:rsidRPr="00922A24">
        <w:rPr>
          <w:rFonts w:ascii="IBM Plex Sans" w:hAnsi="IBM Plex Sans"/>
          <w:color w:val="1F497D" w:themeColor="text2"/>
          <w:lang w:val="en-IN"/>
        </w:rPr>
        <w:t>.</w:t>
      </w:r>
    </w:p>
    <w:p w14:paraId="13A90729" w14:textId="62D8B2FB" w:rsidR="001A67E9" w:rsidRDefault="003E3BCB" w:rsidP="00DA2A18">
      <w:pPr>
        <w:pStyle w:val="Heading2"/>
        <w:numPr>
          <w:ilvl w:val="1"/>
          <w:numId w:val="10"/>
        </w:numPr>
        <w:rPr>
          <w:rFonts w:ascii="IBM Plex Sans" w:hAnsi="IBM Plex Sans"/>
        </w:rPr>
      </w:pPr>
      <w:r w:rsidRPr="003E3BCB">
        <w:rPr>
          <w:rFonts w:eastAsiaTheme="minorHAnsi" w:cstheme="minorBidi"/>
          <w:b w:val="0"/>
          <w:bCs w:val="0"/>
          <w:color w:val="auto"/>
          <w:sz w:val="21"/>
          <w:szCs w:val="22"/>
        </w:rPr>
        <w:t xml:space="preserve"> </w:t>
      </w:r>
      <w:bookmarkStart w:id="1" w:name="_Toc183470284"/>
      <w:r w:rsidRPr="003E3BCB">
        <w:rPr>
          <w:rFonts w:ascii="IBM Plex Sans" w:hAnsi="IBM Plex Sans"/>
        </w:rPr>
        <w:t>Open Table Formats as Catalogs</w:t>
      </w:r>
      <w:bookmarkEnd w:id="1"/>
    </w:p>
    <w:p w14:paraId="13706E43" w14:textId="77777777" w:rsidR="008D6160" w:rsidRDefault="008D6160" w:rsidP="008D6160"/>
    <w:p w14:paraId="4C9C3461" w14:textId="3DAC3B6C" w:rsidR="008D6160" w:rsidRPr="003C728B" w:rsidRDefault="008D6160" w:rsidP="008D6160">
      <w:pPr>
        <w:rPr>
          <w:rFonts w:ascii="IBM Plex Sans" w:hAnsi="IBM Plex Sans"/>
          <w:lang w:val="en-IN"/>
        </w:rPr>
      </w:pPr>
      <w:r w:rsidRPr="003C728B">
        <w:rPr>
          <w:rFonts w:ascii="IBM Plex Sans" w:hAnsi="IBM Plex Sans"/>
          <w:lang w:val="en-IN"/>
        </w:rPr>
        <w:t>watsonx.data supports three widely adopted open table formats to enhance flexibility and interoperability across analytics engines:</w:t>
      </w:r>
    </w:p>
    <w:p w14:paraId="49FFB8F6" w14:textId="77777777" w:rsidR="008D6160" w:rsidRPr="003C728B" w:rsidRDefault="008D6160" w:rsidP="008D6160">
      <w:pPr>
        <w:rPr>
          <w:rFonts w:ascii="IBM Plex Sans" w:hAnsi="IBM Plex Sans"/>
          <w:lang w:val="en-IN"/>
        </w:rPr>
      </w:pPr>
      <w:r w:rsidRPr="003C728B">
        <w:rPr>
          <w:rFonts w:ascii="IBM Plex Sans" w:hAnsi="IBM Plex Sans"/>
          <w:b/>
          <w:bCs/>
          <w:lang w:val="en-IN"/>
        </w:rPr>
        <w:t>Delta Lake</w:t>
      </w:r>
      <w:r w:rsidRPr="003C728B">
        <w:rPr>
          <w:rFonts w:ascii="IBM Plex Sans" w:hAnsi="IBM Plex Sans"/>
          <w:lang w:val="en-IN"/>
        </w:rPr>
        <w:t>: Offers ACID transactions, schema enforcement, and the ability to handle both batch and streaming data seamlessly.</w:t>
      </w:r>
    </w:p>
    <w:p w14:paraId="7267A30F" w14:textId="77777777" w:rsidR="008D6160" w:rsidRPr="003C728B" w:rsidRDefault="008D6160" w:rsidP="008D6160">
      <w:pPr>
        <w:rPr>
          <w:rFonts w:ascii="IBM Plex Sans" w:hAnsi="IBM Plex Sans"/>
          <w:lang w:val="en-IN"/>
        </w:rPr>
      </w:pPr>
      <w:r w:rsidRPr="003C728B">
        <w:rPr>
          <w:rFonts w:ascii="IBM Plex Sans" w:hAnsi="IBM Plex Sans"/>
          <w:b/>
          <w:bCs/>
          <w:lang w:val="en-IN"/>
        </w:rPr>
        <w:t>Apache Hudi</w:t>
      </w:r>
      <w:r w:rsidRPr="003C728B">
        <w:rPr>
          <w:rFonts w:ascii="IBM Plex Sans" w:hAnsi="IBM Plex Sans"/>
          <w:lang w:val="en-IN"/>
        </w:rPr>
        <w:t>: Focused on managing large-scale data, Hudi enables incremental updates and supports data mutation capabilities, making it ideal for e-commerce scenarios.</w:t>
      </w:r>
    </w:p>
    <w:p w14:paraId="0CE773A8" w14:textId="77777777" w:rsidR="008D6160" w:rsidRPr="003C728B" w:rsidRDefault="008D6160" w:rsidP="008D6160">
      <w:pPr>
        <w:rPr>
          <w:rFonts w:ascii="IBM Plex Sans" w:hAnsi="IBM Plex Sans"/>
          <w:lang w:val="en-IN"/>
        </w:rPr>
      </w:pPr>
      <w:r w:rsidRPr="003C728B">
        <w:rPr>
          <w:rFonts w:ascii="IBM Plex Sans" w:hAnsi="IBM Plex Sans"/>
          <w:b/>
          <w:bCs/>
          <w:lang w:val="en-IN"/>
        </w:rPr>
        <w:t>Apache Iceberg</w:t>
      </w:r>
      <w:r w:rsidRPr="003C728B">
        <w:rPr>
          <w:rFonts w:ascii="IBM Plex Sans" w:hAnsi="IBM Plex Sans"/>
          <w:lang w:val="en-IN"/>
        </w:rPr>
        <w:t>: Designed for handling petabyte-scale datasets, Iceberg provides advanced schema evolution, time travel, and partitioning flexibility.</w:t>
      </w:r>
    </w:p>
    <w:p w14:paraId="60472D17" w14:textId="264CBB97" w:rsidR="003E3BCB" w:rsidRPr="003C728B" w:rsidRDefault="008D6160" w:rsidP="008D6160">
      <w:pPr>
        <w:rPr>
          <w:rFonts w:ascii="IBM Plex Sans" w:hAnsi="IBM Plex Sans"/>
          <w:lang w:val="en-IN"/>
        </w:rPr>
      </w:pPr>
      <w:r w:rsidRPr="003C728B">
        <w:rPr>
          <w:rFonts w:ascii="IBM Plex Sans" w:hAnsi="IBM Plex Sans"/>
          <w:lang w:val="en-IN"/>
        </w:rPr>
        <w:t>These open table formats act as catalogs within the metadata layer, enabling robust management and efficient query execution across diverse engines and workloads.</w:t>
      </w:r>
    </w:p>
    <w:p w14:paraId="1B4B3386" w14:textId="702F9F94" w:rsidR="00A50E6F" w:rsidRDefault="003C728B" w:rsidP="003C728B">
      <w:pPr>
        <w:pStyle w:val="Heading2"/>
        <w:numPr>
          <w:ilvl w:val="1"/>
          <w:numId w:val="10"/>
        </w:numPr>
        <w:rPr>
          <w:rFonts w:ascii="IBM Plex Sans" w:hAnsi="IBM Plex Sans"/>
        </w:rPr>
      </w:pPr>
      <w:bookmarkStart w:id="2" w:name="_Toc183470285"/>
      <w:r w:rsidRPr="003C728B">
        <w:rPr>
          <w:rFonts w:ascii="IBM Plex Sans" w:hAnsi="IBM Plex Sans"/>
        </w:rPr>
        <w:t>Why Integrate in a Unified Platform?</w:t>
      </w:r>
      <w:bookmarkEnd w:id="2"/>
    </w:p>
    <w:p w14:paraId="46083710" w14:textId="77777777" w:rsidR="00A6208A" w:rsidRPr="00A76AF9" w:rsidRDefault="00A6208A" w:rsidP="00A6208A">
      <w:pPr>
        <w:rPr>
          <w:rFonts w:ascii="IBM Plex Sans" w:hAnsi="IBM Plex Sans"/>
          <w:lang w:val="en-IN"/>
        </w:rPr>
      </w:pPr>
    </w:p>
    <w:p w14:paraId="5654278D" w14:textId="77777777" w:rsidR="003C728B" w:rsidRPr="00A76AF9" w:rsidRDefault="003C728B" w:rsidP="003C728B">
      <w:pPr>
        <w:rPr>
          <w:rFonts w:ascii="IBM Plex Sans" w:hAnsi="IBM Plex Sans"/>
          <w:lang w:val="en-IN"/>
        </w:rPr>
      </w:pPr>
      <w:r w:rsidRPr="003C728B">
        <w:rPr>
          <w:rFonts w:ascii="IBM Plex Sans" w:hAnsi="IBM Plex Sans"/>
          <w:lang w:val="en-IN"/>
        </w:rPr>
        <w:t>The watsonx.data lakehouse leverages the combined strengths of Delta Lake, Apache Hudi, and Apache Iceberg to address diverse business needs efficiently</w:t>
      </w:r>
      <w:r w:rsidRPr="00A76AF9">
        <w:rPr>
          <w:rFonts w:ascii="IBM Plex Sans" w:hAnsi="IBM Plex Sans"/>
          <w:lang w:val="en-IN"/>
        </w:rPr>
        <w:t xml:space="preserve"> for example.</w:t>
      </w:r>
    </w:p>
    <w:p w14:paraId="6E1A6D6E" w14:textId="6D877D9E" w:rsidR="003C728B" w:rsidRPr="00A76AF9" w:rsidRDefault="003C728B" w:rsidP="00A76AF9">
      <w:pPr>
        <w:pStyle w:val="ListParagraph"/>
        <w:numPr>
          <w:ilvl w:val="0"/>
          <w:numId w:val="14"/>
        </w:numPr>
        <w:rPr>
          <w:rFonts w:ascii="IBM Plex Sans" w:hAnsi="IBM Plex Sans"/>
          <w:color w:val="000000" w:themeColor="text1"/>
          <w:lang w:val="en-IN"/>
        </w:rPr>
      </w:pPr>
      <w:r w:rsidRPr="00A76AF9">
        <w:rPr>
          <w:rFonts w:ascii="IBM Plex Sans" w:hAnsi="IBM Plex Sans"/>
          <w:color w:val="000000" w:themeColor="text1"/>
          <w:lang w:val="en-IN"/>
        </w:rPr>
        <w:lastRenderedPageBreak/>
        <w:t xml:space="preserve">In E-Commerce, Delta Lake enables real-time inventory updates, Hudi supports efficient customer </w:t>
      </w:r>
      <w:r w:rsidR="00A76AF9" w:rsidRPr="00A76AF9">
        <w:rPr>
          <w:rFonts w:ascii="IBM Plex Sans" w:hAnsi="IBM Plex Sans"/>
          <w:color w:val="000000" w:themeColor="text1"/>
          <w:lang w:val="en-IN"/>
        </w:rPr>
        <w:t>behaviour</w:t>
      </w:r>
      <w:r w:rsidRPr="00A76AF9">
        <w:rPr>
          <w:rFonts w:ascii="IBM Plex Sans" w:hAnsi="IBM Plex Sans"/>
          <w:color w:val="000000" w:themeColor="text1"/>
          <w:lang w:val="en-IN"/>
        </w:rPr>
        <w:t xml:space="preserve"> tracking, and Iceberg powers sales trend analysis and forecasting for deeper insights.</w:t>
      </w:r>
    </w:p>
    <w:p w14:paraId="06E51684" w14:textId="77777777" w:rsidR="003C728B" w:rsidRPr="00A76AF9" w:rsidRDefault="003C728B" w:rsidP="00A76AF9">
      <w:pPr>
        <w:pStyle w:val="ListParagraph"/>
        <w:numPr>
          <w:ilvl w:val="0"/>
          <w:numId w:val="14"/>
        </w:numPr>
        <w:rPr>
          <w:rFonts w:ascii="IBM Plex Sans" w:hAnsi="IBM Plex Sans"/>
          <w:color w:val="000000" w:themeColor="text1"/>
          <w:lang w:val="en-IN"/>
        </w:rPr>
      </w:pPr>
      <w:r w:rsidRPr="00A76AF9">
        <w:rPr>
          <w:rFonts w:ascii="IBM Plex Sans" w:hAnsi="IBM Plex Sans"/>
          <w:color w:val="000000" w:themeColor="text1"/>
          <w:lang w:val="en-IN"/>
        </w:rPr>
        <w:t>In Financial Services, Delta Lake ensures real-time fraud detection, Hudi manages incremental portfolio updates, and Iceberg secures compliance reporting with scalable governance.</w:t>
      </w:r>
    </w:p>
    <w:p w14:paraId="1D9D7BAE" w14:textId="77777777" w:rsidR="003C728B" w:rsidRPr="00A76AF9" w:rsidRDefault="003C728B" w:rsidP="00A76AF9">
      <w:pPr>
        <w:pStyle w:val="ListParagraph"/>
        <w:numPr>
          <w:ilvl w:val="0"/>
          <w:numId w:val="14"/>
        </w:numPr>
        <w:rPr>
          <w:rFonts w:ascii="IBM Plex Sans" w:hAnsi="IBM Plex Sans"/>
          <w:color w:val="000000" w:themeColor="text1"/>
          <w:lang w:val="en-IN"/>
        </w:rPr>
      </w:pPr>
      <w:r w:rsidRPr="00A76AF9">
        <w:rPr>
          <w:rFonts w:ascii="IBM Plex Sans" w:hAnsi="IBM Plex Sans"/>
          <w:color w:val="000000" w:themeColor="text1"/>
          <w:lang w:val="en-IN"/>
        </w:rPr>
        <w:t>In Healthcare, Delta Lake facilitates timely predictive analytics, Hudi synchronizes patient records, and Iceberg handles long-term storage for audits.</w:t>
      </w:r>
    </w:p>
    <w:p w14:paraId="3D9E7EC1" w14:textId="77777777" w:rsidR="003C728B" w:rsidRPr="003C728B" w:rsidRDefault="003C728B" w:rsidP="003C728B">
      <w:pPr>
        <w:rPr>
          <w:rFonts w:ascii="IBM Plex Sans" w:hAnsi="IBM Plex Sans"/>
          <w:lang w:val="en-IN"/>
        </w:rPr>
      </w:pPr>
      <w:r w:rsidRPr="003C728B">
        <w:rPr>
          <w:rFonts w:ascii="IBM Plex Sans" w:hAnsi="IBM Plex Sans"/>
          <w:lang w:val="en-IN"/>
        </w:rPr>
        <w:t>By combining these open table formats, businesses can seamlessly manage real-time operations, process incremental updates, and ensure scalable, compliant analytics—all within a single, unified lakehouse platform.</w:t>
      </w:r>
    </w:p>
    <w:p w14:paraId="305AE4BB" w14:textId="7D18A1EA" w:rsidR="005C513D" w:rsidRDefault="00000000" w:rsidP="005C513D">
      <w:pPr>
        <w:pStyle w:val="Heading1"/>
        <w:rPr>
          <w:rFonts w:ascii="IBM Plex Sans" w:hAnsi="IBM Plex Sans"/>
          <w:b/>
          <w:bCs w:val="0"/>
        </w:rPr>
      </w:pPr>
      <w:bookmarkStart w:id="3" w:name="_Toc183470286"/>
      <w:r w:rsidRPr="005C513D">
        <w:rPr>
          <w:rFonts w:ascii="IBM Plex Sans" w:hAnsi="IBM Plex Sans"/>
          <w:b/>
          <w:bCs w:val="0"/>
        </w:rPr>
        <w:t xml:space="preserve">2. </w:t>
      </w:r>
      <w:r w:rsidR="00265ADB" w:rsidRPr="00265ADB">
        <w:rPr>
          <w:rFonts w:ascii="IBM Plex Sans" w:hAnsi="IBM Plex Sans"/>
          <w:b/>
          <w:bCs w:val="0"/>
        </w:rPr>
        <w:t>E-Commerce Use Case Implementation</w:t>
      </w:r>
      <w:bookmarkEnd w:id="3"/>
    </w:p>
    <w:p w14:paraId="5DC29E4F" w14:textId="77777777" w:rsidR="008C5B2E" w:rsidRPr="008C5B2E" w:rsidRDefault="008C5B2E" w:rsidP="008C5B2E"/>
    <w:p w14:paraId="2AA1ACCF" w14:textId="730EAE1A" w:rsidR="0003416C" w:rsidRDefault="0003416C" w:rsidP="0003416C">
      <w:pPr>
        <w:pStyle w:val="Heading2"/>
        <w:rPr>
          <w:rFonts w:ascii="IBM Plex Sans" w:hAnsi="IBM Plex Sans"/>
        </w:rPr>
      </w:pPr>
      <w:bookmarkStart w:id="4" w:name="_Toc183470287"/>
      <w:r w:rsidRPr="00A6208A">
        <w:rPr>
          <w:rFonts w:ascii="IBM Plex Sans" w:hAnsi="IBM Plex Sans"/>
        </w:rPr>
        <w:t>2.</w:t>
      </w:r>
      <w:r>
        <w:rPr>
          <w:rFonts w:ascii="IBM Plex Sans" w:hAnsi="IBM Plex Sans"/>
        </w:rPr>
        <w:t>1</w:t>
      </w:r>
      <w:r w:rsidRPr="00A6208A">
        <w:rPr>
          <w:rFonts w:ascii="IBM Plex Sans" w:hAnsi="IBM Plex Sans"/>
        </w:rPr>
        <w:t xml:space="preserve"> </w:t>
      </w:r>
      <w:r>
        <w:rPr>
          <w:rFonts w:ascii="IBM Plex Sans" w:hAnsi="IBM Plex Sans"/>
        </w:rPr>
        <w:t>O</w:t>
      </w:r>
      <w:r w:rsidRPr="00A6208A">
        <w:rPr>
          <w:rFonts w:ascii="IBM Plex Sans" w:hAnsi="IBM Plex Sans"/>
        </w:rPr>
        <w:t>verview</w:t>
      </w:r>
      <w:bookmarkEnd w:id="4"/>
    </w:p>
    <w:p w14:paraId="23D3D986" w14:textId="77777777" w:rsidR="0003416C" w:rsidRPr="0003416C" w:rsidRDefault="0003416C" w:rsidP="0003416C"/>
    <w:p w14:paraId="4047329E" w14:textId="5C3E821B" w:rsidR="008C5B2E" w:rsidRPr="008C5B2E" w:rsidRDefault="008C5B2E" w:rsidP="008C5B2E">
      <w:pPr>
        <w:rPr>
          <w:rFonts w:ascii="IBM Plex Sans" w:hAnsi="IBM Plex Sans"/>
        </w:rPr>
      </w:pPr>
      <w:r w:rsidRPr="008C5B2E">
        <w:rPr>
          <w:rFonts w:ascii="IBM Plex Sans" w:hAnsi="IBM Plex Sans"/>
          <w:lang w:val="en-IN"/>
        </w:rPr>
        <w:t>In today’s fast-paced digital economy, e-commerce platforms must continuously evolve to meet the growing demands of both customers and businesses. To stay competitive, companies need to optimize their platforms for efficiency, scalability, and performance. Advanced data solutions are key to achieving these objectives.</w:t>
      </w:r>
    </w:p>
    <w:p w14:paraId="52D8B4CC" w14:textId="77777777" w:rsidR="00BE624D" w:rsidRDefault="00BE624D" w:rsidP="008C5B2E">
      <w:pPr>
        <w:rPr>
          <w:rFonts w:ascii="IBM Plex Sans" w:hAnsi="IBM Plex Sans"/>
        </w:rPr>
      </w:pPr>
      <w:r w:rsidRPr="00BE624D">
        <w:rPr>
          <w:rFonts w:ascii="IBM Plex Sans" w:hAnsi="IBM Plex Sans"/>
        </w:rPr>
        <w:t xml:space="preserve">This document explores how </w:t>
      </w:r>
      <w:r w:rsidRPr="00BE624D">
        <w:rPr>
          <w:rFonts w:ascii="IBM Plex Sans" w:hAnsi="IBM Plex Sans"/>
          <w:b/>
          <w:bCs/>
        </w:rPr>
        <w:t>watsonx.data</w:t>
      </w:r>
      <w:r w:rsidRPr="00BE624D">
        <w:rPr>
          <w:rFonts w:ascii="IBM Plex Sans" w:hAnsi="IBM Plex Sans"/>
        </w:rPr>
        <w:t xml:space="preserve">, combined with </w:t>
      </w:r>
      <w:r w:rsidRPr="00BE624D">
        <w:rPr>
          <w:rFonts w:ascii="IBM Plex Sans" w:hAnsi="IBM Plex Sans"/>
          <w:b/>
          <w:bCs/>
        </w:rPr>
        <w:t>Spark</w:t>
      </w:r>
      <w:r w:rsidRPr="00BE624D">
        <w:rPr>
          <w:rFonts w:ascii="IBM Plex Sans" w:hAnsi="IBM Plex Sans"/>
        </w:rPr>
        <w:t xml:space="preserve"> and Open Table Formats like </w:t>
      </w:r>
      <w:r w:rsidRPr="00BE624D">
        <w:rPr>
          <w:rFonts w:ascii="IBM Plex Sans" w:hAnsi="IBM Plex Sans"/>
          <w:b/>
          <w:bCs/>
        </w:rPr>
        <w:t>Delta Lake</w:t>
      </w:r>
      <w:r w:rsidRPr="00BE624D">
        <w:rPr>
          <w:rFonts w:ascii="IBM Plex Sans" w:hAnsi="IBM Plex Sans"/>
        </w:rPr>
        <w:t xml:space="preserve"> and </w:t>
      </w:r>
      <w:r w:rsidRPr="00BE624D">
        <w:rPr>
          <w:rFonts w:ascii="IBM Plex Sans" w:hAnsi="IBM Plex Sans"/>
          <w:b/>
          <w:bCs/>
        </w:rPr>
        <w:t>Apache Iceberg</w:t>
      </w:r>
      <w:r w:rsidRPr="00BE624D">
        <w:rPr>
          <w:rFonts w:ascii="IBM Plex Sans" w:hAnsi="IBM Plex Sans"/>
        </w:rPr>
        <w:t>, can be leveraged to optimize e-commerce operations. By integrating these powerful technologies, businesses can streamline data processing, enhance real-time analytics, and enable seamless scalability, all of which lead to better decision-making and improved customer experiences.</w:t>
      </w:r>
    </w:p>
    <w:p w14:paraId="396BE060" w14:textId="722D6716" w:rsidR="008C5B2E" w:rsidRPr="008C5B2E" w:rsidRDefault="008C5B2E" w:rsidP="008C5B2E">
      <w:pPr>
        <w:rPr>
          <w:rFonts w:ascii="IBM Plex Sans" w:hAnsi="IBM Plex Sans"/>
          <w:lang w:val="en-IN"/>
        </w:rPr>
      </w:pPr>
      <w:r w:rsidRPr="008C5B2E">
        <w:rPr>
          <w:rFonts w:ascii="IBM Plex Sans" w:hAnsi="IBM Plex Sans"/>
          <w:lang w:val="en-IN"/>
        </w:rPr>
        <w:t>The following sections will outline the key challenges faced by e-commerce platforms, the technical solutions provided by these technologies, and the benefits of implementing this optimization strategy.</w:t>
      </w:r>
    </w:p>
    <w:p w14:paraId="5A41F7B2" w14:textId="7A8B9AB0" w:rsidR="008C5B2E" w:rsidRPr="00A6208A" w:rsidRDefault="008C5B2E">
      <w:pPr>
        <w:rPr>
          <w:rFonts w:ascii="IBM Plex Sans" w:eastAsiaTheme="majorEastAsia" w:hAnsi="IBM Plex Sans" w:cstheme="majorBidi"/>
          <w:b/>
          <w:bCs/>
          <w:color w:val="4F81BD" w:themeColor="accent1"/>
          <w:sz w:val="26"/>
          <w:szCs w:val="26"/>
        </w:rPr>
      </w:pPr>
    </w:p>
    <w:p w14:paraId="401EB922" w14:textId="1317C477" w:rsidR="0003416C" w:rsidRDefault="0003416C" w:rsidP="0003416C">
      <w:pPr>
        <w:pStyle w:val="Heading2"/>
        <w:rPr>
          <w:rFonts w:ascii="IBM Plex Sans" w:hAnsi="IBM Plex Sans"/>
        </w:rPr>
      </w:pPr>
      <w:bookmarkStart w:id="5" w:name="_Toc183470288"/>
      <w:r>
        <w:rPr>
          <w:rFonts w:ascii="IBM Plex Sans" w:hAnsi="IBM Plex Sans"/>
        </w:rPr>
        <w:t>2</w:t>
      </w:r>
      <w:r w:rsidRPr="00A6208A">
        <w:rPr>
          <w:rFonts w:ascii="IBM Plex Sans" w:hAnsi="IBM Plex Sans"/>
        </w:rPr>
        <w:t>.</w:t>
      </w:r>
      <w:r>
        <w:rPr>
          <w:rFonts w:ascii="IBM Plex Sans" w:hAnsi="IBM Plex Sans"/>
        </w:rPr>
        <w:t>2</w:t>
      </w:r>
      <w:r w:rsidRPr="00A6208A">
        <w:rPr>
          <w:rFonts w:ascii="IBM Plex Sans" w:hAnsi="IBM Plex Sans"/>
        </w:rPr>
        <w:t xml:space="preserve"> </w:t>
      </w:r>
      <w:r w:rsidRPr="00A6208A">
        <w:rPr>
          <w:rFonts w:ascii="IBM Plex Sans" w:hAnsi="IBM Plex Sans"/>
          <w:sz w:val="26"/>
        </w:rPr>
        <w:t>ERD Diagram</w:t>
      </w:r>
      <w:bookmarkEnd w:id="5"/>
    </w:p>
    <w:p w14:paraId="1B829253" w14:textId="75B1198D" w:rsidR="002A4E61" w:rsidRPr="00A6208A" w:rsidRDefault="002A4E61">
      <w:pPr>
        <w:rPr>
          <w:rFonts w:ascii="IBM Plex Sans" w:eastAsiaTheme="majorEastAsia" w:hAnsi="IBM Plex Sans" w:cstheme="majorBidi"/>
          <w:b/>
          <w:bCs/>
          <w:color w:val="4F81BD" w:themeColor="accent1"/>
          <w:sz w:val="26"/>
          <w:szCs w:val="26"/>
        </w:rPr>
      </w:pPr>
    </w:p>
    <w:p w14:paraId="77A24553" w14:textId="49D955F9" w:rsidR="002A4E61" w:rsidRPr="00A6208A" w:rsidRDefault="00F1308C">
      <w:pPr>
        <w:rPr>
          <w:rFonts w:ascii="IBM Plex Sans" w:eastAsiaTheme="majorEastAsia" w:hAnsi="IBM Plex Sans" w:cstheme="majorBidi"/>
          <w:b/>
          <w:bCs/>
          <w:color w:val="4F81BD" w:themeColor="accent1"/>
          <w:sz w:val="26"/>
          <w:szCs w:val="26"/>
        </w:rPr>
      </w:pPr>
      <w:r>
        <w:rPr>
          <w:rFonts w:ascii="IBM Plex Sans" w:eastAsiaTheme="majorEastAsia" w:hAnsi="IBM Plex Sans" w:cstheme="majorBidi"/>
          <w:b/>
          <w:bCs/>
          <w:noProof/>
          <w:color w:val="4F81BD" w:themeColor="accent1"/>
          <w:sz w:val="26"/>
          <w:szCs w:val="26"/>
        </w:rPr>
        <w:lastRenderedPageBreak/>
        <w:drawing>
          <wp:inline distT="0" distB="0" distL="0" distR="0" wp14:anchorId="31C41E08" wp14:editId="0DD06D6B">
            <wp:extent cx="5486400" cy="4341495"/>
            <wp:effectExtent l="0" t="0" r="0" b="1905"/>
            <wp:docPr id="95719212" name="Picture 8" descr="A diagram of a retai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9212" name="Picture 8" descr="A diagram of a retail system&#10;&#10;Description automatically generated"/>
                    <pic:cNvPicPr/>
                  </pic:nvPicPr>
                  <pic:blipFill>
                    <a:blip r:embed="rId6"/>
                    <a:stretch>
                      <a:fillRect/>
                    </a:stretch>
                  </pic:blipFill>
                  <pic:spPr>
                    <a:xfrm>
                      <a:off x="0" y="0"/>
                      <a:ext cx="5486400" cy="4341495"/>
                    </a:xfrm>
                    <a:prstGeom prst="rect">
                      <a:avLst/>
                    </a:prstGeom>
                  </pic:spPr>
                </pic:pic>
              </a:graphicData>
            </a:graphic>
          </wp:inline>
        </w:drawing>
      </w:r>
    </w:p>
    <w:p w14:paraId="72387099" w14:textId="4E0CE388" w:rsidR="00C45BE3" w:rsidRPr="00C45BE3" w:rsidRDefault="00000000" w:rsidP="00C45BE3">
      <w:pPr>
        <w:pStyle w:val="Heading2"/>
        <w:rPr>
          <w:rFonts w:ascii="IBM Plex Sans" w:hAnsi="IBM Plex Sans"/>
        </w:rPr>
      </w:pPr>
      <w:bookmarkStart w:id="6" w:name="_Toc183470289"/>
      <w:r w:rsidRPr="00A6208A">
        <w:rPr>
          <w:rFonts w:ascii="IBM Plex Sans" w:hAnsi="IBM Plex Sans"/>
        </w:rPr>
        <w:t>2.</w:t>
      </w:r>
      <w:r w:rsidR="007822B0">
        <w:rPr>
          <w:rFonts w:ascii="IBM Plex Sans" w:hAnsi="IBM Plex Sans"/>
        </w:rPr>
        <w:t>3</w:t>
      </w:r>
      <w:r w:rsidRPr="00A6208A">
        <w:rPr>
          <w:rFonts w:ascii="IBM Plex Sans" w:hAnsi="IBM Plex Sans"/>
        </w:rPr>
        <w:t xml:space="preserve"> Data Flow Overview</w:t>
      </w:r>
      <w:bookmarkEnd w:id="6"/>
    </w:p>
    <w:p w14:paraId="08BE7E38" w14:textId="77777777" w:rsidR="00421464" w:rsidRPr="00421464" w:rsidRDefault="00421464" w:rsidP="00421464"/>
    <w:p w14:paraId="0A0DFECD" w14:textId="579B6FE5" w:rsidR="00132D04" w:rsidRPr="00A6208A" w:rsidRDefault="00791E8E" w:rsidP="00132D04">
      <w:pPr>
        <w:rPr>
          <w:rFonts w:ascii="IBM Plex Sans" w:hAnsi="IBM Plex Sans"/>
        </w:rPr>
      </w:pPr>
      <w:r>
        <w:rPr>
          <w:rFonts w:ascii="IBM Plex Sans" w:hAnsi="IBM Plex Sans"/>
          <w:noProof/>
        </w:rPr>
        <w:drawing>
          <wp:inline distT="0" distB="0" distL="0" distR="0" wp14:anchorId="01207A70" wp14:editId="40E441FE">
            <wp:extent cx="6318776" cy="1935125"/>
            <wp:effectExtent l="0" t="0" r="0" b="0"/>
            <wp:docPr id="82409559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5593" name="Graphic 824095593"/>
                    <pic:cNvPicPr/>
                  </pic:nvPicPr>
                  <pic:blipFill>
                    <a:blip r:embed="rId7">
                      <a:extLst>
                        <a:ext uri="{96DAC541-7B7A-43D3-8B79-37D633B846F1}">
                          <asvg:svgBlip xmlns:asvg="http://schemas.microsoft.com/office/drawing/2016/SVG/main" r:embed="rId8"/>
                        </a:ext>
                      </a:extLst>
                    </a:blip>
                    <a:stretch>
                      <a:fillRect/>
                    </a:stretch>
                  </pic:blipFill>
                  <pic:spPr>
                    <a:xfrm>
                      <a:off x="0" y="0"/>
                      <a:ext cx="6331323" cy="1938968"/>
                    </a:xfrm>
                    <a:prstGeom prst="rect">
                      <a:avLst/>
                    </a:prstGeom>
                  </pic:spPr>
                </pic:pic>
              </a:graphicData>
            </a:graphic>
          </wp:inline>
        </w:drawing>
      </w:r>
    </w:p>
    <w:p w14:paraId="6EC1435A" w14:textId="77777777" w:rsidR="00A50E6F" w:rsidRDefault="00000000">
      <w:pPr>
        <w:rPr>
          <w:rFonts w:ascii="IBM Plex Sans" w:hAnsi="IBM Plex Sans"/>
        </w:rPr>
      </w:pPr>
      <w:r w:rsidRPr="00A6208A">
        <w:rPr>
          <w:rFonts w:ascii="IBM Plex Sans" w:hAnsi="IBM Plex Sans"/>
        </w:rPr>
        <w:t>1. Data Ingestion:</w:t>
      </w:r>
      <w:r w:rsidRPr="00A6208A">
        <w:rPr>
          <w:rFonts w:ascii="IBM Plex Sans" w:hAnsi="IBM Plex Sans"/>
        </w:rPr>
        <w:br/>
        <w:t>• Real-time: Ingest web and app interactions into Delta Lake via watsonx.data.</w:t>
      </w:r>
      <w:r w:rsidRPr="00A6208A">
        <w:rPr>
          <w:rFonts w:ascii="IBM Plex Sans" w:hAnsi="IBM Plex Sans"/>
        </w:rPr>
        <w:br/>
        <w:t>• Batch: Import historical data periodically into Iceberg.</w:t>
      </w:r>
      <w:r w:rsidRPr="00A6208A">
        <w:rPr>
          <w:rFonts w:ascii="IBM Plex Sans" w:hAnsi="IBM Plex Sans"/>
        </w:rPr>
        <w:br/>
        <w:t>2. Real-Time Processing:</w:t>
      </w:r>
      <w:r w:rsidRPr="00A6208A">
        <w:rPr>
          <w:rFonts w:ascii="IBM Plex Sans" w:hAnsi="IBM Plex Sans"/>
        </w:rPr>
        <w:br/>
        <w:t xml:space="preserve">• Spark on watsonx.data joins Product, Sales, and Customer tables for real-time queries like </w:t>
      </w:r>
      <w:r w:rsidRPr="00A6208A">
        <w:rPr>
          <w:rFonts w:ascii="IBM Plex Sans" w:hAnsi="IBM Plex Sans"/>
        </w:rPr>
        <w:lastRenderedPageBreak/>
        <w:t>product recommendations and marketing.</w:t>
      </w:r>
      <w:r w:rsidRPr="00A6208A">
        <w:rPr>
          <w:rFonts w:ascii="IBM Plex Sans" w:hAnsi="IBM Plex Sans"/>
        </w:rPr>
        <w:br/>
        <w:t>3. Federated Queries:</w:t>
      </w:r>
      <w:r w:rsidRPr="00A6208A">
        <w:rPr>
          <w:rFonts w:ascii="IBM Plex Sans" w:hAnsi="IBM Plex Sans"/>
        </w:rPr>
        <w:br/>
        <w:t>• Combines real-time sales data from Delta Lake with historical data from Iceberg to provide insights on trends and customer behavior.</w:t>
      </w:r>
    </w:p>
    <w:p w14:paraId="7A3155D7" w14:textId="2E371D07" w:rsidR="00C45BE3" w:rsidRDefault="00C45BE3" w:rsidP="00C45BE3">
      <w:pPr>
        <w:pStyle w:val="Heading2"/>
        <w:rPr>
          <w:rFonts w:ascii="IBM Plex Sans" w:hAnsi="IBM Plex Sans"/>
        </w:rPr>
      </w:pPr>
      <w:bookmarkStart w:id="7" w:name="_Toc183470290"/>
      <w:r w:rsidRPr="00A6208A">
        <w:rPr>
          <w:rFonts w:ascii="IBM Plex Sans" w:hAnsi="IBM Plex Sans"/>
        </w:rPr>
        <w:t>2.</w:t>
      </w:r>
      <w:r w:rsidR="007822B0">
        <w:rPr>
          <w:rFonts w:ascii="IBM Plex Sans" w:hAnsi="IBM Plex Sans"/>
        </w:rPr>
        <w:t>4</w:t>
      </w:r>
      <w:r>
        <w:rPr>
          <w:rFonts w:ascii="IBM Plex Sans" w:hAnsi="IBM Plex Sans"/>
        </w:rPr>
        <w:t xml:space="preserve"> </w:t>
      </w:r>
      <w:r w:rsidR="009713C8">
        <w:rPr>
          <w:rFonts w:ascii="IBM Plex Sans" w:hAnsi="IBM Plex Sans"/>
        </w:rPr>
        <w:t>Prerequisites</w:t>
      </w:r>
      <w:bookmarkEnd w:id="7"/>
    </w:p>
    <w:p w14:paraId="629086EF" w14:textId="77777777" w:rsidR="003F22AB" w:rsidRDefault="003F22AB" w:rsidP="003F22AB"/>
    <w:p w14:paraId="60043B58" w14:textId="77777777" w:rsidR="003F22AB" w:rsidRPr="003F22AB" w:rsidRDefault="003F22AB" w:rsidP="003F22AB">
      <w:pPr>
        <w:pStyle w:val="NormalWeb"/>
        <w:rPr>
          <w:rFonts w:ascii="IBM Plex Sans" w:hAnsi="IBM Plex Sans" w:cstheme="minorBidi"/>
          <w:sz w:val="21"/>
          <w:szCs w:val="22"/>
        </w:rPr>
      </w:pPr>
      <w:r w:rsidRPr="003F22AB">
        <w:rPr>
          <w:rFonts w:ascii="IBM Plex Sans" w:hAnsi="IBM Plex Sans" w:cstheme="minorBidi"/>
          <w:sz w:val="21"/>
          <w:szCs w:val="22"/>
        </w:rPr>
        <w:t>IBM Watsonx.data provides multiple ways to run Spark workloads, catering to diverse analytical and operational needs. Below are the key methods:</w:t>
      </w:r>
    </w:p>
    <w:p w14:paraId="1D657E34" w14:textId="77777777" w:rsidR="003F22AB" w:rsidRPr="003F22AB" w:rsidRDefault="003F22AB" w:rsidP="003F22AB">
      <w:pPr>
        <w:pStyle w:val="Heading4"/>
        <w:rPr>
          <w:rFonts w:ascii="IBM Plex Sans" w:eastAsiaTheme="minorHAnsi" w:hAnsi="IBM Plex Sans" w:cstheme="minorBidi"/>
          <w:b w:val="0"/>
          <w:bCs w:val="0"/>
          <w:i w:val="0"/>
          <w:iCs w:val="0"/>
          <w:color w:val="auto"/>
          <w:sz w:val="21"/>
        </w:rPr>
      </w:pPr>
      <w:r w:rsidRPr="003F22AB">
        <w:rPr>
          <w:rFonts w:ascii="IBM Plex Sans" w:eastAsiaTheme="minorHAnsi" w:hAnsi="IBM Plex Sans" w:cstheme="minorBidi"/>
          <w:iCs w:val="0"/>
          <w:color w:val="auto"/>
          <w:sz w:val="21"/>
        </w:rPr>
        <w:t>1. Native Spark Engine</w:t>
      </w:r>
    </w:p>
    <w:p w14:paraId="59A7658F" w14:textId="77777777" w:rsidR="003F22AB" w:rsidRPr="003F22AB" w:rsidRDefault="003F22AB" w:rsidP="003F22AB">
      <w:pPr>
        <w:numPr>
          <w:ilvl w:val="0"/>
          <w:numId w:val="15"/>
        </w:numPr>
        <w:spacing w:before="100" w:beforeAutospacing="1" w:after="100" w:afterAutospacing="1" w:line="240" w:lineRule="auto"/>
        <w:rPr>
          <w:rFonts w:ascii="IBM Plex Sans" w:hAnsi="IBM Plex Sans"/>
        </w:rPr>
      </w:pPr>
      <w:r w:rsidRPr="003F22AB">
        <w:rPr>
          <w:rFonts w:ascii="IBM Plex Sans" w:hAnsi="IBM Plex Sans"/>
        </w:rPr>
        <w:t xml:space="preserve">Watsonx.data allows provisioning a </w:t>
      </w:r>
      <w:r w:rsidRPr="003F22AB">
        <w:rPr>
          <w:rFonts w:ascii="IBM Plex Sans" w:hAnsi="IBM Plex Sans"/>
          <w:bCs/>
          <w:i/>
        </w:rPr>
        <w:t>Native Spark Engine</w:t>
      </w:r>
      <w:r w:rsidRPr="003F22AB">
        <w:rPr>
          <w:rFonts w:ascii="IBM Plex Sans" w:hAnsi="IBM Plex Sans"/>
        </w:rPr>
        <w:t xml:space="preserve"> directly within the infrastructure.</w:t>
      </w:r>
    </w:p>
    <w:p w14:paraId="05F00288" w14:textId="77777777" w:rsidR="003F22AB" w:rsidRPr="003F22AB" w:rsidRDefault="003F22AB" w:rsidP="003F22AB">
      <w:pPr>
        <w:numPr>
          <w:ilvl w:val="0"/>
          <w:numId w:val="15"/>
        </w:numPr>
        <w:spacing w:before="100" w:beforeAutospacing="1" w:after="100" w:afterAutospacing="1" w:line="240" w:lineRule="auto"/>
        <w:rPr>
          <w:rFonts w:ascii="IBM Plex Sans" w:hAnsi="IBM Plex Sans"/>
        </w:rPr>
      </w:pPr>
      <w:r w:rsidRPr="003F22AB">
        <w:rPr>
          <w:rFonts w:ascii="IBM Plex Sans" w:hAnsi="IBM Plex Sans"/>
        </w:rPr>
        <w:t>This option is ideal for running high-performance Spark applications and managing complex analytical workloads.</w:t>
      </w:r>
    </w:p>
    <w:p w14:paraId="639DDE3E" w14:textId="77777777" w:rsidR="003F22AB" w:rsidRPr="003F22AB" w:rsidRDefault="003F22AB" w:rsidP="003F22AB">
      <w:pPr>
        <w:numPr>
          <w:ilvl w:val="0"/>
          <w:numId w:val="15"/>
        </w:numPr>
        <w:spacing w:before="100" w:beforeAutospacing="1" w:after="100" w:afterAutospacing="1" w:line="240" w:lineRule="auto"/>
        <w:rPr>
          <w:rFonts w:ascii="IBM Plex Sans" w:hAnsi="IBM Plex Sans"/>
        </w:rPr>
      </w:pPr>
      <w:r w:rsidRPr="003F22AB">
        <w:rPr>
          <w:rFonts w:ascii="IBM Plex Sans" w:hAnsi="IBM Plex Sans"/>
        </w:rPr>
        <w:t>Key Features:</w:t>
      </w:r>
    </w:p>
    <w:p w14:paraId="3A63CB43" w14:textId="77777777" w:rsidR="003F22AB" w:rsidRPr="003F22AB" w:rsidRDefault="003F22AB" w:rsidP="003F22AB">
      <w:pPr>
        <w:numPr>
          <w:ilvl w:val="1"/>
          <w:numId w:val="15"/>
        </w:numPr>
        <w:spacing w:before="100" w:beforeAutospacing="1" w:after="100" w:afterAutospacing="1" w:line="240" w:lineRule="auto"/>
        <w:rPr>
          <w:rFonts w:ascii="IBM Plex Sans" w:hAnsi="IBM Plex Sans"/>
        </w:rPr>
      </w:pPr>
      <w:r w:rsidRPr="003F22AB">
        <w:rPr>
          <w:rFonts w:ascii="IBM Plex Sans" w:hAnsi="IBM Plex Sans"/>
        </w:rPr>
        <w:t>Supports configurable Spark runtime versions.</w:t>
      </w:r>
    </w:p>
    <w:p w14:paraId="2179A1E8" w14:textId="77777777" w:rsidR="003F22AB" w:rsidRPr="003F22AB" w:rsidRDefault="003F22AB" w:rsidP="003F22AB">
      <w:pPr>
        <w:numPr>
          <w:ilvl w:val="1"/>
          <w:numId w:val="15"/>
        </w:numPr>
        <w:spacing w:before="100" w:beforeAutospacing="1" w:after="100" w:afterAutospacing="1" w:line="240" w:lineRule="auto"/>
        <w:rPr>
          <w:rFonts w:ascii="IBM Plex Sans" w:hAnsi="IBM Plex Sans"/>
        </w:rPr>
      </w:pPr>
      <w:r w:rsidRPr="003F22AB">
        <w:rPr>
          <w:rFonts w:ascii="IBM Plex Sans" w:hAnsi="IBM Plex Sans"/>
        </w:rPr>
        <w:t>Integration with associated catalogs for metadata management.</w:t>
      </w:r>
    </w:p>
    <w:p w14:paraId="52450F95" w14:textId="77777777" w:rsidR="003F22AB" w:rsidRPr="003F22AB" w:rsidRDefault="003F22AB" w:rsidP="003F22AB">
      <w:pPr>
        <w:numPr>
          <w:ilvl w:val="1"/>
          <w:numId w:val="15"/>
        </w:numPr>
        <w:spacing w:before="100" w:beforeAutospacing="1" w:after="100" w:afterAutospacing="1" w:line="240" w:lineRule="auto"/>
        <w:rPr>
          <w:rFonts w:ascii="IBM Plex Sans" w:hAnsi="IBM Plex Sans"/>
        </w:rPr>
      </w:pPr>
      <w:r w:rsidRPr="003F22AB">
        <w:rPr>
          <w:rFonts w:ascii="IBM Plex Sans" w:hAnsi="IBM Plex Sans"/>
        </w:rPr>
        <w:t>Utilizes storage volumes for Spark logs and events.</w:t>
      </w:r>
    </w:p>
    <w:p w14:paraId="3E7399DA" w14:textId="77777777" w:rsidR="003F22AB" w:rsidRPr="003F22AB" w:rsidRDefault="003F22AB" w:rsidP="003F22AB">
      <w:pPr>
        <w:numPr>
          <w:ilvl w:val="0"/>
          <w:numId w:val="15"/>
        </w:numPr>
        <w:spacing w:before="100" w:beforeAutospacing="1" w:after="100" w:afterAutospacing="1" w:line="240" w:lineRule="auto"/>
        <w:rPr>
          <w:rFonts w:ascii="IBM Plex Sans" w:hAnsi="IBM Plex Sans"/>
        </w:rPr>
      </w:pPr>
      <w:r w:rsidRPr="003F22AB">
        <w:rPr>
          <w:rFonts w:ascii="IBM Plex Sans" w:hAnsi="IBM Plex Sans"/>
          <w:bCs/>
          <w:i/>
        </w:rPr>
        <w:t>Setup</w:t>
      </w:r>
      <w:r w:rsidRPr="003F22AB">
        <w:rPr>
          <w:rFonts w:ascii="IBM Plex Sans" w:hAnsi="IBM Plex Sans"/>
        </w:rPr>
        <w:t>:</w:t>
      </w:r>
    </w:p>
    <w:p w14:paraId="73E2080C" w14:textId="77777777" w:rsidR="003F22AB" w:rsidRPr="003F22AB" w:rsidRDefault="003F22AB" w:rsidP="003F22AB">
      <w:pPr>
        <w:numPr>
          <w:ilvl w:val="1"/>
          <w:numId w:val="15"/>
        </w:numPr>
        <w:spacing w:before="100" w:beforeAutospacing="1" w:after="100" w:afterAutospacing="1" w:line="240" w:lineRule="auto"/>
        <w:rPr>
          <w:rFonts w:ascii="IBM Plex Sans" w:hAnsi="IBM Plex Sans"/>
        </w:rPr>
      </w:pPr>
      <w:r w:rsidRPr="003F22AB">
        <w:rPr>
          <w:rFonts w:ascii="IBM Plex Sans" w:hAnsi="IBM Plex Sans"/>
        </w:rPr>
        <w:t>Provision through the Watsonx.data console under Infrastructure Manager.</w:t>
      </w:r>
    </w:p>
    <w:p w14:paraId="415BBBFB" w14:textId="77777777" w:rsidR="003F22AB" w:rsidRPr="003F22AB" w:rsidRDefault="003F22AB" w:rsidP="003F22AB">
      <w:pPr>
        <w:numPr>
          <w:ilvl w:val="1"/>
          <w:numId w:val="15"/>
        </w:numPr>
        <w:spacing w:before="100" w:beforeAutospacing="1" w:after="100" w:afterAutospacing="1" w:line="240" w:lineRule="auto"/>
        <w:rPr>
          <w:rFonts w:ascii="IBM Plex Sans" w:hAnsi="IBM Plex Sans"/>
        </w:rPr>
      </w:pPr>
      <w:r w:rsidRPr="003F22AB">
        <w:rPr>
          <w:rFonts w:ascii="IBM Plex Sans" w:hAnsi="IBM Plex Sans"/>
        </w:rPr>
        <w:t>Select or create storage volumes and specify the Spark runtime.</w:t>
      </w:r>
    </w:p>
    <w:p w14:paraId="77475D2E" w14:textId="77777777" w:rsidR="003F22AB" w:rsidRPr="003F22AB" w:rsidRDefault="003F22AB" w:rsidP="003F22AB">
      <w:pPr>
        <w:pStyle w:val="Heading4"/>
        <w:rPr>
          <w:rFonts w:ascii="IBM Plex Sans" w:eastAsiaTheme="minorHAnsi" w:hAnsi="IBM Plex Sans" w:cstheme="minorBidi"/>
          <w:b w:val="0"/>
          <w:bCs w:val="0"/>
          <w:i w:val="0"/>
          <w:iCs w:val="0"/>
          <w:color w:val="auto"/>
          <w:sz w:val="21"/>
        </w:rPr>
      </w:pPr>
      <w:r w:rsidRPr="003F22AB">
        <w:rPr>
          <w:rFonts w:ascii="IBM Plex Sans" w:eastAsiaTheme="minorHAnsi" w:hAnsi="IBM Plex Sans" w:cstheme="minorBidi"/>
          <w:iCs w:val="0"/>
          <w:color w:val="auto"/>
          <w:sz w:val="21"/>
        </w:rPr>
        <w:t>2. IBM Analytics Engine (IAE)</w:t>
      </w:r>
    </w:p>
    <w:p w14:paraId="07CE951E" w14:textId="77777777" w:rsidR="003F22AB" w:rsidRPr="003F22AB" w:rsidRDefault="003F22AB" w:rsidP="003F22AB">
      <w:pPr>
        <w:numPr>
          <w:ilvl w:val="0"/>
          <w:numId w:val="16"/>
        </w:numPr>
        <w:spacing w:before="100" w:beforeAutospacing="1" w:after="100" w:afterAutospacing="1" w:line="240" w:lineRule="auto"/>
        <w:rPr>
          <w:rFonts w:ascii="IBM Plex Sans" w:hAnsi="IBM Plex Sans"/>
        </w:rPr>
      </w:pPr>
      <w:r w:rsidRPr="003F22AB">
        <w:rPr>
          <w:rFonts w:ascii="IBM Plex Sans" w:hAnsi="IBM Plex Sans"/>
        </w:rPr>
        <w:t xml:space="preserve">Provides a </w:t>
      </w:r>
      <w:r w:rsidRPr="003F22AB">
        <w:rPr>
          <w:rFonts w:ascii="IBM Plex Sans" w:hAnsi="IBM Plex Sans"/>
          <w:bCs/>
          <w:i/>
        </w:rPr>
        <w:t>serverless Spark environment</w:t>
      </w:r>
      <w:r w:rsidRPr="003F22AB">
        <w:rPr>
          <w:rFonts w:ascii="IBM Plex Sans" w:hAnsi="IBM Plex Sans"/>
        </w:rPr>
        <w:t xml:space="preserve"> integrated with Watsonx.data.</w:t>
      </w:r>
    </w:p>
    <w:p w14:paraId="1B3B467D" w14:textId="77777777" w:rsidR="003F22AB" w:rsidRPr="003F22AB" w:rsidRDefault="003F22AB" w:rsidP="003F22AB">
      <w:pPr>
        <w:numPr>
          <w:ilvl w:val="0"/>
          <w:numId w:val="16"/>
        </w:numPr>
        <w:spacing w:before="100" w:beforeAutospacing="1" w:after="100" w:afterAutospacing="1" w:line="240" w:lineRule="auto"/>
        <w:rPr>
          <w:rFonts w:ascii="IBM Plex Sans" w:hAnsi="IBM Plex Sans"/>
        </w:rPr>
      </w:pPr>
      <w:r w:rsidRPr="003F22AB">
        <w:rPr>
          <w:rFonts w:ascii="IBM Plex Sans" w:hAnsi="IBM Plex Sans"/>
        </w:rPr>
        <w:t>Best suited for lightweight and ad hoc Spark jobs without requiring infrastructure management.</w:t>
      </w:r>
    </w:p>
    <w:p w14:paraId="4C0BF1CA" w14:textId="77777777" w:rsidR="003F22AB" w:rsidRPr="003F22AB" w:rsidRDefault="003F22AB" w:rsidP="003F22AB">
      <w:pPr>
        <w:numPr>
          <w:ilvl w:val="0"/>
          <w:numId w:val="16"/>
        </w:numPr>
        <w:spacing w:before="100" w:beforeAutospacing="1" w:after="100" w:afterAutospacing="1" w:line="240" w:lineRule="auto"/>
        <w:rPr>
          <w:rFonts w:ascii="IBM Plex Sans" w:hAnsi="IBM Plex Sans"/>
        </w:rPr>
      </w:pPr>
      <w:r w:rsidRPr="003F22AB">
        <w:rPr>
          <w:rFonts w:ascii="IBM Plex Sans" w:hAnsi="IBM Plex Sans"/>
        </w:rPr>
        <w:t>Key Features:</w:t>
      </w:r>
    </w:p>
    <w:p w14:paraId="0147BE0F" w14:textId="77777777" w:rsidR="003F22AB" w:rsidRPr="003F22AB" w:rsidRDefault="003F22AB" w:rsidP="003F22AB">
      <w:pPr>
        <w:numPr>
          <w:ilvl w:val="1"/>
          <w:numId w:val="16"/>
        </w:numPr>
        <w:spacing w:before="100" w:beforeAutospacing="1" w:after="100" w:afterAutospacing="1" w:line="240" w:lineRule="auto"/>
        <w:rPr>
          <w:rFonts w:ascii="IBM Plex Sans" w:hAnsi="IBM Plex Sans"/>
        </w:rPr>
      </w:pPr>
      <w:r w:rsidRPr="003F22AB">
        <w:rPr>
          <w:rFonts w:ascii="IBM Plex Sans" w:hAnsi="IBM Plex Sans"/>
        </w:rPr>
        <w:t>Automatic scaling and resource optimization.</w:t>
      </w:r>
    </w:p>
    <w:p w14:paraId="3852F99A" w14:textId="77777777" w:rsidR="003F22AB" w:rsidRPr="003F22AB" w:rsidRDefault="003F22AB" w:rsidP="003F22AB">
      <w:pPr>
        <w:numPr>
          <w:ilvl w:val="1"/>
          <w:numId w:val="16"/>
        </w:numPr>
        <w:spacing w:before="100" w:beforeAutospacing="1" w:after="100" w:afterAutospacing="1" w:line="240" w:lineRule="auto"/>
        <w:rPr>
          <w:rFonts w:ascii="IBM Plex Sans" w:hAnsi="IBM Plex Sans"/>
        </w:rPr>
      </w:pPr>
      <w:r w:rsidRPr="003F22AB">
        <w:rPr>
          <w:rFonts w:ascii="IBM Plex Sans" w:hAnsi="IBM Plex Sans"/>
        </w:rPr>
        <w:t>Integrated with Hive Metastore (HMS) for catalog management.</w:t>
      </w:r>
    </w:p>
    <w:p w14:paraId="623E4C9B" w14:textId="77777777" w:rsidR="003F22AB" w:rsidRPr="003F22AB" w:rsidRDefault="00FC59C5" w:rsidP="003F22AB">
      <w:pPr>
        <w:spacing w:after="0"/>
        <w:rPr>
          <w:rFonts w:ascii="IBM Plex Sans" w:hAnsi="IBM Plex Sans"/>
        </w:rPr>
      </w:pPr>
      <w:r>
        <w:rPr>
          <w:rFonts w:ascii="IBM Plex Sans" w:hAnsi="IBM Plex Sans"/>
          <w:noProof/>
        </w:rPr>
        <w:pict w14:anchorId="71F5066B">
          <v:rect id="_x0000_i1025" alt="" style="width:413.4pt;height:.05pt;mso-width-percent:0;mso-height-percent:0;mso-width-percent:0;mso-height-percent:0" o:hrpct="916" o:hralign="center" o:hrstd="t" o:hr="t" fillcolor="#a0a0a0" stroked="f"/>
        </w:pict>
      </w:r>
    </w:p>
    <w:p w14:paraId="0B0DBC70" w14:textId="77777777" w:rsidR="003F22AB" w:rsidRPr="003F22AB" w:rsidRDefault="003F22AB" w:rsidP="003F22AB">
      <w:pPr>
        <w:pStyle w:val="Heading3"/>
        <w:rPr>
          <w:rFonts w:ascii="IBM Plex Sans" w:eastAsiaTheme="minorHAnsi" w:hAnsi="IBM Plex Sans" w:cstheme="minorBidi"/>
          <w:bCs w:val="0"/>
          <w:color w:val="auto"/>
          <w:spacing w:val="0"/>
          <w:sz w:val="21"/>
        </w:rPr>
      </w:pPr>
      <w:bookmarkStart w:id="8" w:name="_Toc183470291"/>
      <w:r w:rsidRPr="003F22AB">
        <w:rPr>
          <w:rFonts w:ascii="IBM Plex Sans" w:eastAsiaTheme="minorHAnsi" w:hAnsi="IBM Plex Sans" w:cstheme="minorBidi"/>
          <w:i/>
          <w:color w:val="auto"/>
          <w:spacing w:val="0"/>
          <w:sz w:val="21"/>
        </w:rPr>
        <w:t>Other Execution Methods</w:t>
      </w:r>
      <w:bookmarkEnd w:id="8"/>
    </w:p>
    <w:p w14:paraId="2902DE45" w14:textId="77777777" w:rsidR="003F22AB" w:rsidRPr="003F22AB" w:rsidRDefault="003F22AB" w:rsidP="003F22AB">
      <w:pPr>
        <w:pStyle w:val="Heading4"/>
        <w:rPr>
          <w:rFonts w:ascii="IBM Plex Sans" w:eastAsiaTheme="minorHAnsi" w:hAnsi="IBM Plex Sans" w:cstheme="minorBidi"/>
          <w:b w:val="0"/>
          <w:bCs w:val="0"/>
          <w:i w:val="0"/>
          <w:iCs w:val="0"/>
          <w:color w:val="auto"/>
          <w:sz w:val="21"/>
        </w:rPr>
      </w:pPr>
      <w:r w:rsidRPr="003F22AB">
        <w:rPr>
          <w:rFonts w:ascii="IBM Plex Sans" w:eastAsiaTheme="minorHAnsi" w:hAnsi="IBM Plex Sans" w:cstheme="minorBidi"/>
          <w:iCs w:val="0"/>
          <w:color w:val="auto"/>
          <w:sz w:val="21"/>
        </w:rPr>
        <w:t>3. Watson Studio Notebooks</w:t>
      </w:r>
    </w:p>
    <w:p w14:paraId="6E15BEC7" w14:textId="77777777" w:rsidR="003F22AB" w:rsidRPr="003F22AB" w:rsidRDefault="003F22AB" w:rsidP="003F22AB">
      <w:pPr>
        <w:numPr>
          <w:ilvl w:val="0"/>
          <w:numId w:val="17"/>
        </w:numPr>
        <w:spacing w:before="100" w:beforeAutospacing="1" w:after="100" w:afterAutospacing="1" w:line="240" w:lineRule="auto"/>
        <w:rPr>
          <w:rFonts w:ascii="IBM Plex Sans" w:hAnsi="IBM Plex Sans"/>
        </w:rPr>
      </w:pPr>
      <w:r w:rsidRPr="003F22AB">
        <w:rPr>
          <w:rFonts w:ascii="IBM Plex Sans" w:hAnsi="IBM Plex Sans"/>
        </w:rPr>
        <w:t>Use interactive Python or Scala notebooks in Watson Studio to develop and run Spark applications.</w:t>
      </w:r>
    </w:p>
    <w:p w14:paraId="5344BD98" w14:textId="77777777" w:rsidR="003F22AB" w:rsidRPr="003F22AB" w:rsidRDefault="003F22AB" w:rsidP="003F22AB">
      <w:pPr>
        <w:numPr>
          <w:ilvl w:val="0"/>
          <w:numId w:val="17"/>
        </w:numPr>
        <w:spacing w:before="100" w:beforeAutospacing="1" w:after="100" w:afterAutospacing="1" w:line="240" w:lineRule="auto"/>
        <w:rPr>
          <w:rFonts w:ascii="IBM Plex Sans" w:hAnsi="IBM Plex Sans"/>
        </w:rPr>
      </w:pPr>
      <w:r w:rsidRPr="003F22AB">
        <w:rPr>
          <w:rFonts w:ascii="IBM Plex Sans" w:hAnsi="IBM Plex Sans"/>
        </w:rPr>
        <w:t>Ideal for real-time data exploration, visualization, and iterative development.</w:t>
      </w:r>
    </w:p>
    <w:p w14:paraId="0F2A603D" w14:textId="77777777" w:rsidR="003F22AB" w:rsidRPr="003F22AB" w:rsidRDefault="003F22AB" w:rsidP="003F22AB">
      <w:pPr>
        <w:pStyle w:val="Heading4"/>
        <w:rPr>
          <w:rFonts w:ascii="IBM Plex Sans" w:eastAsiaTheme="minorHAnsi" w:hAnsi="IBM Plex Sans" w:cstheme="minorBidi"/>
          <w:b w:val="0"/>
          <w:bCs w:val="0"/>
          <w:i w:val="0"/>
          <w:iCs w:val="0"/>
          <w:color w:val="auto"/>
          <w:sz w:val="21"/>
        </w:rPr>
      </w:pPr>
      <w:r w:rsidRPr="003F22AB">
        <w:rPr>
          <w:rFonts w:ascii="IBM Plex Sans" w:eastAsiaTheme="minorHAnsi" w:hAnsi="IBM Plex Sans" w:cstheme="minorBidi"/>
          <w:iCs w:val="0"/>
          <w:color w:val="auto"/>
          <w:sz w:val="21"/>
        </w:rPr>
        <w:lastRenderedPageBreak/>
        <w:t>4. Command-Line Execution (Python Scripts)</w:t>
      </w:r>
    </w:p>
    <w:p w14:paraId="67BACCD7" w14:textId="77777777" w:rsidR="003F22AB" w:rsidRPr="003F22AB" w:rsidRDefault="003F22AB" w:rsidP="003F22AB">
      <w:pPr>
        <w:numPr>
          <w:ilvl w:val="0"/>
          <w:numId w:val="18"/>
        </w:numPr>
        <w:spacing w:before="100" w:beforeAutospacing="1" w:after="100" w:afterAutospacing="1" w:line="240" w:lineRule="auto"/>
        <w:rPr>
          <w:rFonts w:ascii="IBM Plex Sans" w:hAnsi="IBM Plex Sans"/>
        </w:rPr>
      </w:pPr>
      <w:r w:rsidRPr="003F22AB">
        <w:rPr>
          <w:rFonts w:ascii="IBM Plex Sans" w:hAnsi="IBM Plex Sans"/>
        </w:rPr>
        <w:t>Spark applications can be packaged as .py files and executed outside Watson Studio.</w:t>
      </w:r>
    </w:p>
    <w:p w14:paraId="0451354B" w14:textId="77777777" w:rsidR="003F22AB" w:rsidRDefault="003F22AB" w:rsidP="003F22AB">
      <w:pPr>
        <w:numPr>
          <w:ilvl w:val="0"/>
          <w:numId w:val="18"/>
        </w:numPr>
        <w:spacing w:before="100" w:beforeAutospacing="1" w:after="100" w:afterAutospacing="1" w:line="240" w:lineRule="auto"/>
        <w:rPr>
          <w:rFonts w:ascii="IBM Plex Sans" w:hAnsi="IBM Plex Sans"/>
        </w:rPr>
      </w:pPr>
      <w:r w:rsidRPr="003F22AB">
        <w:rPr>
          <w:rFonts w:ascii="IBM Plex Sans" w:hAnsi="IBM Plex Sans"/>
        </w:rPr>
        <w:t>Use curl commands or APIs to submit these jobs to Watsonx.data for execution.</w:t>
      </w:r>
    </w:p>
    <w:p w14:paraId="1D84E1D6" w14:textId="1D6216D8" w:rsidR="00156B92" w:rsidRDefault="00156B92" w:rsidP="00156B92">
      <w:pPr>
        <w:spacing w:before="100" w:beforeAutospacing="1" w:after="100" w:afterAutospacing="1" w:line="240" w:lineRule="auto"/>
        <w:rPr>
          <w:rFonts w:ascii="IBM Plex Sans" w:hAnsi="IBM Plex Sans"/>
        </w:rPr>
      </w:pPr>
      <w:r>
        <w:rPr>
          <w:rFonts w:ascii="IBM Plex Sans" w:hAnsi="IBM Plex Sans"/>
        </w:rPr>
        <w:t xml:space="preserve">To understand more about spark set up go through </w:t>
      </w:r>
      <w:r w:rsidRPr="00156B92">
        <w:rPr>
          <w:rFonts w:ascii="IBM Plex Sans" w:hAnsi="IBM Plex Sans"/>
        </w:rPr>
        <w:t>this</w:t>
      </w:r>
      <w:r w:rsidRPr="00156B92">
        <w:rPr>
          <w:rFonts w:ascii="IBM Plex Sans" w:hAnsi="IBM Plex Sans"/>
          <w:b/>
          <w:bCs/>
        </w:rPr>
        <w:t xml:space="preserve"> </w:t>
      </w:r>
      <w:hyperlink r:id="rId9" w:tooltip="Go through this link" w:history="1">
        <w:r w:rsidRPr="00156B92">
          <w:rPr>
            <w:rStyle w:val="Hyperlink"/>
            <w:rFonts w:ascii="IBM Plex Sans" w:hAnsi="IBM Plex Sans"/>
            <w:b/>
            <w:bCs/>
          </w:rPr>
          <w:t>link</w:t>
        </w:r>
      </w:hyperlink>
      <w:r w:rsidRPr="00156B92">
        <w:rPr>
          <w:rFonts w:ascii="IBM Plex Sans" w:hAnsi="IBM Plex Sans"/>
          <w:b/>
          <w:bCs/>
        </w:rPr>
        <w:t>.</w:t>
      </w:r>
    </w:p>
    <w:p w14:paraId="54EE928C" w14:textId="77777777" w:rsidR="00156B92" w:rsidRPr="00156B92" w:rsidRDefault="00156B92" w:rsidP="00156B92">
      <w:pPr>
        <w:rPr>
          <w:rFonts w:ascii="IBM Plex Sans" w:hAnsi="IBM Plex Sans"/>
        </w:rPr>
      </w:pPr>
      <w:r w:rsidRPr="00156B92">
        <w:rPr>
          <w:rFonts w:ascii="IBM Plex Sans" w:hAnsi="IBM Plex Sans"/>
        </w:rPr>
        <w:t>For an easier setup, it is recommended to first try the Watson Studio method. This approach simplifies the integration of Spark, watsonx.data, and Open Table Formats like Delta Lake and Apache Iceberg. Watson Studio provides an intuitive environment with built-in tools for managing and analyzing data, which makes the process more straightforward. You can quickly deploy and manage Spark jobs and integrate with your e-commerce data for real-time analytics and scalable processing.</w:t>
      </w:r>
    </w:p>
    <w:p w14:paraId="5F78E271" w14:textId="77777777" w:rsidR="00156B92" w:rsidRPr="00156B92" w:rsidRDefault="00156B92" w:rsidP="00156B92">
      <w:pPr>
        <w:rPr>
          <w:rFonts w:ascii="IBM Plex Sans" w:hAnsi="IBM Plex Sans"/>
        </w:rPr>
      </w:pPr>
    </w:p>
    <w:p w14:paraId="462C5B48" w14:textId="2AF824FA" w:rsidR="003F22AB" w:rsidRPr="003F22AB" w:rsidRDefault="00156B92" w:rsidP="00156B92">
      <w:r w:rsidRPr="00156B92">
        <w:rPr>
          <w:rFonts w:ascii="IBM Plex Sans" w:hAnsi="IBM Plex Sans"/>
        </w:rPr>
        <w:t xml:space="preserve">To get started with Watson Studio, you can follow this </w:t>
      </w:r>
      <w:hyperlink r:id="rId10" w:history="1">
        <w:r w:rsidRPr="00156B92">
          <w:rPr>
            <w:rStyle w:val="Hyperlink"/>
            <w:rFonts w:ascii="IBM Plex Sans" w:hAnsi="IBM Plex Sans"/>
            <w:b/>
            <w:bCs/>
          </w:rPr>
          <w:t>link</w:t>
        </w:r>
      </w:hyperlink>
      <w:r w:rsidRPr="00156B92">
        <w:rPr>
          <w:rFonts w:ascii="IBM Plex Sans" w:hAnsi="IBM Plex Sans"/>
          <w:b/>
          <w:bCs/>
        </w:rPr>
        <w:t xml:space="preserve"> </w:t>
      </w:r>
      <w:r w:rsidRPr="00156B92">
        <w:rPr>
          <w:rFonts w:ascii="IBM Plex Sans" w:hAnsi="IBM Plex Sans"/>
        </w:rPr>
        <w:t>for detailed instructions on how to set up and use the platform.</w:t>
      </w:r>
    </w:p>
    <w:p w14:paraId="317411D6" w14:textId="77777777" w:rsidR="00C45BE3" w:rsidRPr="00A6208A" w:rsidRDefault="00C45BE3">
      <w:pPr>
        <w:rPr>
          <w:rFonts w:ascii="IBM Plex Sans" w:hAnsi="IBM Plex Sans"/>
        </w:rPr>
      </w:pPr>
    </w:p>
    <w:p w14:paraId="0741CFBE" w14:textId="183830F8" w:rsidR="00A50E6F" w:rsidRDefault="00000000">
      <w:pPr>
        <w:pStyle w:val="Heading1"/>
        <w:rPr>
          <w:rFonts w:ascii="IBM Plex Sans" w:hAnsi="IBM Plex Sans"/>
          <w:b/>
          <w:bCs w:val="0"/>
        </w:rPr>
      </w:pPr>
      <w:bookmarkStart w:id="9" w:name="_Toc183470292"/>
      <w:r w:rsidRPr="005C513D">
        <w:rPr>
          <w:rFonts w:ascii="IBM Plex Sans" w:hAnsi="IBM Plex Sans"/>
          <w:b/>
          <w:bCs w:val="0"/>
        </w:rPr>
        <w:t xml:space="preserve">3. </w:t>
      </w:r>
      <w:r w:rsidR="0062310D">
        <w:rPr>
          <w:rFonts w:ascii="IBM Plex Sans" w:hAnsi="IBM Plex Sans"/>
          <w:b/>
          <w:bCs w:val="0"/>
        </w:rPr>
        <w:t>E-commerce Technical Details</w:t>
      </w:r>
      <w:bookmarkEnd w:id="9"/>
    </w:p>
    <w:p w14:paraId="424A7EF7" w14:textId="64885EB2" w:rsidR="00093AF0" w:rsidRPr="00416FEB" w:rsidRDefault="00963FD8" w:rsidP="00416FEB">
      <w:pPr>
        <w:pStyle w:val="Heading2"/>
        <w:rPr>
          <w:rFonts w:ascii="IBM Plex Sans" w:hAnsi="IBM Plex Sans"/>
        </w:rPr>
      </w:pPr>
      <w:bookmarkStart w:id="10" w:name="_Toc183470293"/>
      <w:r w:rsidRPr="00416FEB">
        <w:rPr>
          <w:rFonts w:ascii="IBM Plex Sans" w:hAnsi="IBM Plex Sans"/>
        </w:rPr>
        <w:t xml:space="preserve">3.1 </w:t>
      </w:r>
      <w:r w:rsidR="00093AF0" w:rsidRPr="00416FEB">
        <w:rPr>
          <w:rFonts w:ascii="IBM Plex Sans" w:hAnsi="IBM Plex Sans"/>
        </w:rPr>
        <w:t>Data Tables and Structure</w:t>
      </w:r>
      <w:bookmarkEnd w:id="10"/>
    </w:p>
    <w:tbl>
      <w:tblPr>
        <w:tblStyle w:val="TableGrid"/>
        <w:tblW w:w="0" w:type="auto"/>
        <w:tblLook w:val="04A0" w:firstRow="1" w:lastRow="0" w:firstColumn="1" w:lastColumn="0" w:noHBand="0" w:noVBand="1"/>
      </w:tblPr>
      <w:tblGrid>
        <w:gridCol w:w="2157"/>
        <w:gridCol w:w="2157"/>
        <w:gridCol w:w="2158"/>
        <w:gridCol w:w="2158"/>
      </w:tblGrid>
      <w:tr w:rsidR="00093AF0" w14:paraId="6E68BBA1" w14:textId="77777777" w:rsidTr="00093AF0">
        <w:tc>
          <w:tcPr>
            <w:tcW w:w="2157" w:type="dxa"/>
          </w:tcPr>
          <w:p w14:paraId="2E0A2844" w14:textId="576DF8B5" w:rsidR="00093AF0" w:rsidRDefault="00093AF0" w:rsidP="00093AF0">
            <w:pPr>
              <w:rPr>
                <w:b/>
                <w:bCs/>
                <w:sz w:val="24"/>
                <w:szCs w:val="24"/>
              </w:rPr>
            </w:pPr>
            <w:r w:rsidRPr="00FA7A83">
              <w:rPr>
                <w:rFonts w:ascii="Times New Roman" w:eastAsia="Times New Roman" w:hAnsi="Times New Roman" w:cs="Times New Roman"/>
                <w:b/>
                <w:bCs/>
                <w:sz w:val="24"/>
                <w:szCs w:val="24"/>
                <w:lang w:val="en-IN" w:eastAsia="en-GB"/>
              </w:rPr>
              <w:t>Table Name</w:t>
            </w:r>
          </w:p>
        </w:tc>
        <w:tc>
          <w:tcPr>
            <w:tcW w:w="2157" w:type="dxa"/>
          </w:tcPr>
          <w:p w14:paraId="56B78AE6" w14:textId="5B8962ED" w:rsidR="00093AF0" w:rsidRDefault="00093AF0" w:rsidP="00093AF0">
            <w:pPr>
              <w:rPr>
                <w:b/>
                <w:bCs/>
                <w:sz w:val="24"/>
                <w:szCs w:val="24"/>
              </w:rPr>
            </w:pPr>
            <w:r>
              <w:rPr>
                <w:b/>
                <w:bCs/>
                <w:sz w:val="24"/>
                <w:szCs w:val="24"/>
              </w:rPr>
              <w:t>Data Source</w:t>
            </w:r>
          </w:p>
        </w:tc>
        <w:tc>
          <w:tcPr>
            <w:tcW w:w="2158" w:type="dxa"/>
          </w:tcPr>
          <w:p w14:paraId="5A587D5C" w14:textId="42181968" w:rsidR="00093AF0" w:rsidRDefault="00093AF0" w:rsidP="00093AF0">
            <w:pPr>
              <w:rPr>
                <w:b/>
                <w:bCs/>
                <w:sz w:val="24"/>
                <w:szCs w:val="24"/>
              </w:rPr>
            </w:pPr>
            <w:r>
              <w:rPr>
                <w:b/>
                <w:bCs/>
                <w:sz w:val="24"/>
                <w:szCs w:val="24"/>
              </w:rPr>
              <w:t>Purpose</w:t>
            </w:r>
          </w:p>
        </w:tc>
        <w:tc>
          <w:tcPr>
            <w:tcW w:w="2158" w:type="dxa"/>
          </w:tcPr>
          <w:p w14:paraId="0FCE0A2B" w14:textId="7E7FBF61" w:rsidR="00093AF0" w:rsidRDefault="00093AF0" w:rsidP="00093AF0">
            <w:pPr>
              <w:rPr>
                <w:b/>
                <w:bCs/>
                <w:sz w:val="24"/>
                <w:szCs w:val="24"/>
              </w:rPr>
            </w:pPr>
            <w:r w:rsidRPr="00FA7A83">
              <w:rPr>
                <w:rFonts w:ascii="Times New Roman" w:eastAsia="Times New Roman" w:hAnsi="Times New Roman" w:cs="Times New Roman"/>
                <w:b/>
                <w:bCs/>
                <w:sz w:val="24"/>
                <w:szCs w:val="24"/>
                <w:lang w:val="en-IN" w:eastAsia="en-GB"/>
              </w:rPr>
              <w:t>Storage Type</w:t>
            </w:r>
          </w:p>
        </w:tc>
      </w:tr>
      <w:tr w:rsidR="00093AF0" w14:paraId="70BF022A" w14:textId="77777777" w:rsidTr="00093AF0">
        <w:tc>
          <w:tcPr>
            <w:tcW w:w="2157" w:type="dxa"/>
          </w:tcPr>
          <w:p w14:paraId="42F30F8A" w14:textId="58D2B7FB" w:rsidR="00093AF0" w:rsidRPr="002718DE" w:rsidRDefault="00093AF0" w:rsidP="00093AF0">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Products</w:t>
            </w:r>
          </w:p>
        </w:tc>
        <w:tc>
          <w:tcPr>
            <w:tcW w:w="2157" w:type="dxa"/>
          </w:tcPr>
          <w:p w14:paraId="01A80B4F" w14:textId="079C9C89" w:rsidR="00093AF0" w:rsidRPr="002718DE" w:rsidRDefault="002718DE" w:rsidP="00093AF0">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c>
          <w:tcPr>
            <w:tcW w:w="2158" w:type="dxa"/>
          </w:tcPr>
          <w:p w14:paraId="26C697F0" w14:textId="43CFA54E" w:rsidR="00093AF0" w:rsidRDefault="002718DE" w:rsidP="00093AF0">
            <w:pPr>
              <w:rPr>
                <w:b/>
                <w:bCs/>
                <w:sz w:val="24"/>
                <w:szCs w:val="24"/>
              </w:rPr>
            </w:pPr>
            <w:r w:rsidRPr="00FA7A83">
              <w:rPr>
                <w:rFonts w:ascii="Times New Roman" w:eastAsia="Times New Roman" w:hAnsi="Times New Roman" w:cs="Times New Roman"/>
                <w:sz w:val="24"/>
                <w:szCs w:val="24"/>
                <w:lang w:val="en-IN" w:eastAsia="en-GB"/>
              </w:rPr>
              <w:t>Stores product details and metadata for current products</w:t>
            </w:r>
          </w:p>
        </w:tc>
        <w:tc>
          <w:tcPr>
            <w:tcW w:w="2158" w:type="dxa"/>
          </w:tcPr>
          <w:p w14:paraId="2BBF9B8C" w14:textId="59593CFF" w:rsidR="00093AF0" w:rsidRDefault="002718DE" w:rsidP="00093AF0">
            <w:pPr>
              <w:rPr>
                <w:b/>
                <w:bCs/>
                <w:sz w:val="24"/>
                <w:szCs w:val="24"/>
              </w:rPr>
            </w:pPr>
            <w:r>
              <w:rPr>
                <w:rFonts w:ascii="Times New Roman" w:eastAsia="Times New Roman" w:hAnsi="Times New Roman" w:cs="Times New Roman"/>
                <w:sz w:val="24"/>
                <w:szCs w:val="24"/>
                <w:lang w:val="en-IN" w:eastAsia="en-GB"/>
              </w:rPr>
              <w:t>DB2</w:t>
            </w:r>
          </w:p>
        </w:tc>
      </w:tr>
      <w:tr w:rsidR="002718DE" w14:paraId="02C958FD" w14:textId="77777777" w:rsidTr="00C27666">
        <w:tc>
          <w:tcPr>
            <w:tcW w:w="2157" w:type="dxa"/>
          </w:tcPr>
          <w:p w14:paraId="6AC30592" w14:textId="3EEBC5A6"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Customers</w:t>
            </w:r>
          </w:p>
        </w:tc>
        <w:tc>
          <w:tcPr>
            <w:tcW w:w="2157" w:type="dxa"/>
          </w:tcPr>
          <w:p w14:paraId="56B9A14E" w14:textId="3ABDA75D"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c>
          <w:tcPr>
            <w:tcW w:w="2158" w:type="dxa"/>
            <w:vAlign w:val="center"/>
          </w:tcPr>
          <w:p w14:paraId="2A6E236D" w14:textId="52925970" w:rsidR="002718DE" w:rsidRDefault="002718DE" w:rsidP="002718DE">
            <w:pPr>
              <w:rPr>
                <w:b/>
                <w:bCs/>
                <w:sz w:val="24"/>
                <w:szCs w:val="24"/>
              </w:rPr>
            </w:pPr>
            <w:r w:rsidRPr="00FA7A83">
              <w:rPr>
                <w:rFonts w:ascii="Times New Roman" w:eastAsia="Times New Roman" w:hAnsi="Times New Roman" w:cs="Times New Roman"/>
                <w:sz w:val="24"/>
                <w:szCs w:val="24"/>
                <w:lang w:val="en-IN" w:eastAsia="en-GB"/>
              </w:rPr>
              <w:t xml:space="preserve">Tracks customer details and </w:t>
            </w:r>
            <w:r w:rsidR="006A3021" w:rsidRPr="00FA7A83">
              <w:rPr>
                <w:rFonts w:ascii="Times New Roman" w:eastAsia="Times New Roman" w:hAnsi="Times New Roman" w:cs="Times New Roman"/>
                <w:sz w:val="24"/>
                <w:szCs w:val="24"/>
                <w:lang w:val="en-IN" w:eastAsia="en-GB"/>
              </w:rPr>
              <w:t>behaviour</w:t>
            </w:r>
            <w:r w:rsidRPr="00FA7A83">
              <w:rPr>
                <w:rFonts w:ascii="Times New Roman" w:eastAsia="Times New Roman" w:hAnsi="Times New Roman" w:cs="Times New Roman"/>
                <w:sz w:val="24"/>
                <w:szCs w:val="24"/>
                <w:lang w:val="en-IN" w:eastAsia="en-GB"/>
              </w:rPr>
              <w:t xml:space="preserve"> (real-time and historical)</w:t>
            </w:r>
          </w:p>
        </w:tc>
        <w:tc>
          <w:tcPr>
            <w:tcW w:w="2158" w:type="dxa"/>
          </w:tcPr>
          <w:p w14:paraId="5E51CA43" w14:textId="7D12513E" w:rsidR="002718DE" w:rsidRDefault="002718DE" w:rsidP="002718DE">
            <w:pPr>
              <w:rPr>
                <w:b/>
                <w:bCs/>
                <w:sz w:val="24"/>
                <w:szCs w:val="24"/>
              </w:rPr>
            </w:pPr>
            <w:r>
              <w:rPr>
                <w:rFonts w:ascii="Times New Roman" w:eastAsia="Times New Roman" w:hAnsi="Times New Roman" w:cs="Times New Roman"/>
                <w:sz w:val="24"/>
                <w:szCs w:val="24"/>
                <w:lang w:val="en-IN" w:eastAsia="en-GB"/>
              </w:rPr>
              <w:t>DB2</w:t>
            </w:r>
          </w:p>
        </w:tc>
      </w:tr>
      <w:tr w:rsidR="002718DE" w14:paraId="5496D8F5" w14:textId="77777777" w:rsidTr="00093AF0">
        <w:tc>
          <w:tcPr>
            <w:tcW w:w="2157" w:type="dxa"/>
          </w:tcPr>
          <w:p w14:paraId="0167A3ED" w14:textId="50CE1601"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Accessories</w:t>
            </w:r>
          </w:p>
        </w:tc>
        <w:tc>
          <w:tcPr>
            <w:tcW w:w="2157" w:type="dxa"/>
          </w:tcPr>
          <w:p w14:paraId="00086F8E" w14:textId="18CA748D"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c>
          <w:tcPr>
            <w:tcW w:w="2158" w:type="dxa"/>
          </w:tcPr>
          <w:p w14:paraId="5EAC4463" w14:textId="53F89995" w:rsidR="002718DE" w:rsidRDefault="002718DE" w:rsidP="002718DE">
            <w:pPr>
              <w:rPr>
                <w:b/>
                <w:bCs/>
                <w:sz w:val="24"/>
                <w:szCs w:val="24"/>
              </w:rPr>
            </w:pPr>
            <w:r w:rsidRPr="00FA7A83">
              <w:rPr>
                <w:rFonts w:ascii="Times New Roman" w:eastAsia="Times New Roman" w:hAnsi="Times New Roman" w:cs="Times New Roman"/>
                <w:sz w:val="24"/>
                <w:szCs w:val="24"/>
                <w:lang w:val="en-IN" w:eastAsia="en-GB"/>
              </w:rPr>
              <w:t xml:space="preserve">Stores </w:t>
            </w:r>
            <w:r>
              <w:rPr>
                <w:rFonts w:ascii="Times New Roman" w:eastAsia="Times New Roman" w:hAnsi="Times New Roman" w:cs="Times New Roman"/>
                <w:sz w:val="24"/>
                <w:szCs w:val="24"/>
                <w:lang w:val="en-IN" w:eastAsia="en-GB"/>
              </w:rPr>
              <w:t>accessories</w:t>
            </w:r>
            <w:r w:rsidRPr="00FA7A83">
              <w:rPr>
                <w:rFonts w:ascii="Times New Roman" w:eastAsia="Times New Roman" w:hAnsi="Times New Roman" w:cs="Times New Roman"/>
                <w:sz w:val="24"/>
                <w:szCs w:val="24"/>
                <w:lang w:val="en-IN" w:eastAsia="en-GB"/>
              </w:rPr>
              <w:t xml:space="preserve"> details and metadata for current </w:t>
            </w:r>
            <w:r>
              <w:rPr>
                <w:rFonts w:ascii="Times New Roman" w:eastAsia="Times New Roman" w:hAnsi="Times New Roman" w:cs="Times New Roman"/>
                <w:sz w:val="24"/>
                <w:szCs w:val="24"/>
                <w:lang w:val="en-IN" w:eastAsia="en-GB"/>
              </w:rPr>
              <w:t>accessories</w:t>
            </w:r>
          </w:p>
        </w:tc>
        <w:tc>
          <w:tcPr>
            <w:tcW w:w="2158" w:type="dxa"/>
          </w:tcPr>
          <w:p w14:paraId="11C884AF" w14:textId="42C3B900" w:rsidR="002718DE" w:rsidRDefault="002718DE" w:rsidP="002718DE">
            <w:pPr>
              <w:rPr>
                <w:b/>
                <w:bCs/>
                <w:sz w:val="24"/>
                <w:szCs w:val="24"/>
              </w:rPr>
            </w:pPr>
            <w:r>
              <w:rPr>
                <w:rFonts w:ascii="Times New Roman" w:eastAsia="Times New Roman" w:hAnsi="Times New Roman" w:cs="Times New Roman"/>
                <w:sz w:val="24"/>
                <w:szCs w:val="24"/>
                <w:lang w:val="en-IN" w:eastAsia="en-GB"/>
              </w:rPr>
              <w:t>DB2</w:t>
            </w:r>
          </w:p>
        </w:tc>
      </w:tr>
      <w:tr w:rsidR="002718DE" w:rsidRPr="002718DE" w14:paraId="3301A025" w14:textId="77777777" w:rsidTr="00093AF0">
        <w:tc>
          <w:tcPr>
            <w:tcW w:w="2157" w:type="dxa"/>
          </w:tcPr>
          <w:p w14:paraId="3A0E0F5D" w14:textId="103E5B75" w:rsidR="002718DE" w:rsidRPr="002718DE" w:rsidRDefault="002718DE" w:rsidP="002718DE">
            <w:pPr>
              <w:rPr>
                <w:rFonts w:ascii="Times New Roman" w:eastAsia="Times New Roman" w:hAnsi="Times New Roman" w:cs="Times New Roman"/>
                <w:sz w:val="24"/>
                <w:szCs w:val="24"/>
                <w:lang w:val="en-IN" w:eastAsia="en-GB"/>
              </w:rPr>
            </w:pPr>
            <w:proofErr w:type="spellStart"/>
            <w:r w:rsidRPr="002718DE">
              <w:rPr>
                <w:rFonts w:ascii="Times New Roman" w:eastAsia="Times New Roman" w:hAnsi="Times New Roman" w:cs="Times New Roman"/>
                <w:sz w:val="24"/>
                <w:szCs w:val="24"/>
                <w:lang w:val="en-IN" w:eastAsia="en-GB"/>
              </w:rPr>
              <w:t>Hist_sales</w:t>
            </w:r>
            <w:proofErr w:type="spellEnd"/>
          </w:p>
        </w:tc>
        <w:tc>
          <w:tcPr>
            <w:tcW w:w="2157" w:type="dxa"/>
          </w:tcPr>
          <w:p w14:paraId="48702CE4" w14:textId="1B0714B9"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r w:rsidRPr="002718DE">
              <w:rPr>
                <w:rFonts w:ascii="Times New Roman" w:eastAsia="Times New Roman" w:hAnsi="Times New Roman" w:cs="Times New Roman"/>
                <w:sz w:val="24"/>
                <w:szCs w:val="24"/>
                <w:lang w:val="en-IN" w:eastAsia="en-GB"/>
              </w:rPr>
              <w:sym w:font="Wingdings" w:char="F0E0"/>
            </w:r>
            <w:r w:rsidRPr="002718DE">
              <w:rPr>
                <w:rFonts w:ascii="Times New Roman" w:eastAsia="Times New Roman" w:hAnsi="Times New Roman" w:cs="Times New Roman"/>
                <w:sz w:val="24"/>
                <w:szCs w:val="24"/>
                <w:lang w:val="en-IN" w:eastAsia="en-GB"/>
              </w:rPr>
              <w:t xml:space="preserve"> (</w:t>
            </w:r>
            <w:proofErr w:type="spellStart"/>
            <w:r w:rsidRPr="002718DE">
              <w:rPr>
                <w:rFonts w:ascii="Times New Roman" w:eastAsia="Times New Roman" w:hAnsi="Times New Roman" w:cs="Times New Roman"/>
                <w:sz w:val="24"/>
                <w:szCs w:val="24"/>
                <w:lang w:val="en-IN" w:eastAsia="en-GB"/>
              </w:rPr>
              <w:t>wxd</w:t>
            </w:r>
            <w:proofErr w:type="spellEnd"/>
            <w:r w:rsidRPr="002718DE">
              <w:rPr>
                <w:rFonts w:ascii="Times New Roman" w:eastAsia="Times New Roman" w:hAnsi="Times New Roman" w:cs="Times New Roman"/>
                <w:sz w:val="24"/>
                <w:szCs w:val="24"/>
                <w:lang w:val="en-IN" w:eastAsia="en-GB"/>
              </w:rPr>
              <w:t>)</w:t>
            </w:r>
          </w:p>
        </w:tc>
        <w:tc>
          <w:tcPr>
            <w:tcW w:w="2158" w:type="dxa"/>
          </w:tcPr>
          <w:p w14:paraId="1276F2F5" w14:textId="5AA85C70"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 xml:space="preserve">Historical sales data </w:t>
            </w:r>
          </w:p>
        </w:tc>
        <w:tc>
          <w:tcPr>
            <w:tcW w:w="2158" w:type="dxa"/>
          </w:tcPr>
          <w:p w14:paraId="78536975" w14:textId="2C4B3F04"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Iceberg</w:t>
            </w:r>
          </w:p>
        </w:tc>
      </w:tr>
      <w:tr w:rsidR="002718DE" w:rsidRPr="002718DE" w14:paraId="27336382" w14:textId="77777777" w:rsidTr="00093AF0">
        <w:tc>
          <w:tcPr>
            <w:tcW w:w="2157" w:type="dxa"/>
          </w:tcPr>
          <w:p w14:paraId="606981D5" w14:textId="32893A95" w:rsidR="002718DE" w:rsidRPr="002718DE" w:rsidRDefault="002718DE" w:rsidP="002718DE">
            <w:pPr>
              <w:rPr>
                <w:rFonts w:ascii="Times New Roman" w:eastAsia="Times New Roman" w:hAnsi="Times New Roman" w:cs="Times New Roman"/>
                <w:sz w:val="24"/>
                <w:szCs w:val="24"/>
                <w:lang w:val="en-IN" w:eastAsia="en-GB"/>
              </w:rPr>
            </w:pPr>
            <w:proofErr w:type="spellStart"/>
            <w:r w:rsidRPr="002718DE">
              <w:rPr>
                <w:rFonts w:ascii="Times New Roman" w:eastAsia="Times New Roman" w:hAnsi="Times New Roman" w:cs="Times New Roman"/>
                <w:sz w:val="24"/>
                <w:szCs w:val="24"/>
                <w:lang w:val="en-IN" w:eastAsia="en-GB"/>
              </w:rPr>
              <w:lastRenderedPageBreak/>
              <w:t>Realtime_Sales</w:t>
            </w:r>
            <w:proofErr w:type="spellEnd"/>
          </w:p>
        </w:tc>
        <w:tc>
          <w:tcPr>
            <w:tcW w:w="2157" w:type="dxa"/>
          </w:tcPr>
          <w:p w14:paraId="4AA6B2C7" w14:textId="4F381647"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Realtime code</w:t>
            </w:r>
            <w:r w:rsidRPr="002718DE">
              <w:rPr>
                <w:rFonts w:ascii="Times New Roman" w:eastAsia="Times New Roman" w:hAnsi="Times New Roman" w:cs="Times New Roman"/>
                <w:sz w:val="24"/>
                <w:szCs w:val="24"/>
                <w:lang w:val="en-IN" w:eastAsia="en-GB"/>
              </w:rPr>
              <w:sym w:font="Wingdings" w:char="F0E0"/>
            </w:r>
            <w:proofErr w:type="spellStart"/>
            <w:r w:rsidRPr="002718DE">
              <w:rPr>
                <w:rFonts w:ascii="Times New Roman" w:eastAsia="Times New Roman" w:hAnsi="Times New Roman" w:cs="Times New Roman"/>
                <w:sz w:val="24"/>
                <w:szCs w:val="24"/>
                <w:lang w:val="en-IN" w:eastAsia="en-GB"/>
              </w:rPr>
              <w:t>wxd</w:t>
            </w:r>
            <w:proofErr w:type="spellEnd"/>
          </w:p>
        </w:tc>
        <w:tc>
          <w:tcPr>
            <w:tcW w:w="2158" w:type="dxa"/>
          </w:tcPr>
          <w:p w14:paraId="7825536E" w14:textId="27A4CD0B"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Current real time sale generated through a python code</w:t>
            </w:r>
          </w:p>
        </w:tc>
        <w:tc>
          <w:tcPr>
            <w:tcW w:w="2158" w:type="dxa"/>
          </w:tcPr>
          <w:p w14:paraId="4AFEACAE" w14:textId="47E94272"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Delta lake</w:t>
            </w:r>
          </w:p>
        </w:tc>
      </w:tr>
      <w:tr w:rsidR="002718DE" w:rsidRPr="002718DE" w14:paraId="1DA6D4DC" w14:textId="77777777" w:rsidTr="00093AF0">
        <w:tc>
          <w:tcPr>
            <w:tcW w:w="2157" w:type="dxa"/>
          </w:tcPr>
          <w:p w14:paraId="797D32F6" w14:textId="19E588C9"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Stock</w:t>
            </w:r>
          </w:p>
        </w:tc>
        <w:tc>
          <w:tcPr>
            <w:tcW w:w="2157" w:type="dxa"/>
          </w:tcPr>
          <w:p w14:paraId="5319052C" w14:textId="1AAA37D9"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c>
          <w:tcPr>
            <w:tcW w:w="2158" w:type="dxa"/>
          </w:tcPr>
          <w:p w14:paraId="01E841EE" w14:textId="1AFE7956"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Stock data for products and accessories</w:t>
            </w:r>
          </w:p>
        </w:tc>
        <w:tc>
          <w:tcPr>
            <w:tcW w:w="2158" w:type="dxa"/>
          </w:tcPr>
          <w:p w14:paraId="4635EBE0" w14:textId="6A8CA7AE"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r>
      <w:tr w:rsidR="002718DE" w:rsidRPr="002718DE" w14:paraId="5142F0EB" w14:textId="77777777" w:rsidTr="00093AF0">
        <w:tc>
          <w:tcPr>
            <w:tcW w:w="2157" w:type="dxa"/>
          </w:tcPr>
          <w:p w14:paraId="2440B64B" w14:textId="65E50CFB"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Promotions</w:t>
            </w:r>
          </w:p>
        </w:tc>
        <w:tc>
          <w:tcPr>
            <w:tcW w:w="2157" w:type="dxa"/>
          </w:tcPr>
          <w:p w14:paraId="619E21D4" w14:textId="604B75AF"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DB2</w:t>
            </w:r>
          </w:p>
        </w:tc>
        <w:tc>
          <w:tcPr>
            <w:tcW w:w="2158" w:type="dxa"/>
          </w:tcPr>
          <w:p w14:paraId="0A849FE8" w14:textId="7B5748DC" w:rsidR="002718DE" w:rsidRPr="002718DE" w:rsidRDefault="002718DE" w:rsidP="002718DE">
            <w:pPr>
              <w:rPr>
                <w:rFonts w:ascii="Times New Roman" w:eastAsia="Times New Roman" w:hAnsi="Times New Roman" w:cs="Times New Roman"/>
                <w:sz w:val="24"/>
                <w:szCs w:val="24"/>
                <w:lang w:val="en-IN" w:eastAsia="en-GB"/>
              </w:rPr>
            </w:pPr>
            <w:r w:rsidRPr="002718DE">
              <w:rPr>
                <w:rFonts w:ascii="Times New Roman" w:eastAsia="Times New Roman" w:hAnsi="Times New Roman" w:cs="Times New Roman"/>
                <w:sz w:val="24"/>
                <w:szCs w:val="24"/>
                <w:lang w:val="en-IN" w:eastAsia="en-GB"/>
              </w:rPr>
              <w:t>Promotions related to products</w:t>
            </w:r>
          </w:p>
        </w:tc>
        <w:tc>
          <w:tcPr>
            <w:tcW w:w="2158" w:type="dxa"/>
          </w:tcPr>
          <w:p w14:paraId="1CF72B40" w14:textId="0681F05F" w:rsidR="002718DE" w:rsidRPr="002718DE" w:rsidRDefault="002A0C85" w:rsidP="002718DE">
            <w:pP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IBM </w:t>
            </w:r>
            <w:r w:rsidR="005167D9">
              <w:rPr>
                <w:rFonts w:ascii="Times New Roman" w:eastAsia="Times New Roman" w:hAnsi="Times New Roman" w:cs="Times New Roman"/>
                <w:sz w:val="24"/>
                <w:szCs w:val="24"/>
                <w:lang w:val="en-IN" w:eastAsia="en-GB"/>
              </w:rPr>
              <w:t>C</w:t>
            </w:r>
            <w:r>
              <w:rPr>
                <w:rFonts w:ascii="Times New Roman" w:eastAsia="Times New Roman" w:hAnsi="Times New Roman" w:cs="Times New Roman"/>
                <w:sz w:val="24"/>
                <w:szCs w:val="24"/>
                <w:lang w:val="en-IN" w:eastAsia="en-GB"/>
              </w:rPr>
              <w:t>OS</w:t>
            </w:r>
          </w:p>
        </w:tc>
      </w:tr>
    </w:tbl>
    <w:p w14:paraId="7D5824C9" w14:textId="77777777" w:rsidR="00A93678" w:rsidRDefault="00A93678" w:rsidP="00093AF0">
      <w:pPr>
        <w:rPr>
          <w:rFonts w:ascii="Times New Roman" w:eastAsia="Times New Roman" w:hAnsi="Times New Roman" w:cs="Times New Roman"/>
          <w:sz w:val="24"/>
          <w:szCs w:val="24"/>
          <w:lang w:val="en-IN" w:eastAsia="en-GB"/>
        </w:rPr>
      </w:pPr>
    </w:p>
    <w:p w14:paraId="6CE5682F" w14:textId="7396B6AC" w:rsidR="00A93678" w:rsidRDefault="00A93678" w:rsidP="00A93678">
      <w:pPr>
        <w:pStyle w:val="Heading2"/>
        <w:rPr>
          <w:rFonts w:ascii="IBM Plex Sans" w:hAnsi="IBM Plex Sans"/>
        </w:rPr>
      </w:pPr>
      <w:bookmarkStart w:id="11" w:name="_Toc183470294"/>
      <w:r w:rsidRPr="00A6208A">
        <w:rPr>
          <w:rFonts w:ascii="IBM Plex Sans" w:hAnsi="IBM Plex Sans"/>
        </w:rPr>
        <w:t>3.</w:t>
      </w:r>
      <w:r>
        <w:rPr>
          <w:rFonts w:ascii="IBM Plex Sans" w:hAnsi="IBM Plex Sans"/>
        </w:rPr>
        <w:t xml:space="preserve">2 </w:t>
      </w:r>
      <w:r w:rsidR="00C800FA" w:rsidRPr="00C800FA">
        <w:rPr>
          <w:rFonts w:ascii="IBM Plex Sans" w:hAnsi="IBM Plex Sans"/>
        </w:rPr>
        <w:t>Code Breakdown: Iceberg and Delta Lake Integration</w:t>
      </w:r>
      <w:bookmarkEnd w:id="11"/>
    </w:p>
    <w:p w14:paraId="7D453B76" w14:textId="77777777" w:rsidR="00BA3EE9" w:rsidRPr="00BA3EE9" w:rsidRDefault="00BA3EE9" w:rsidP="00BA3EE9"/>
    <w:p w14:paraId="7450B07F" w14:textId="77777777" w:rsidR="00BA3EE9" w:rsidRPr="00BA3EE9" w:rsidRDefault="00BA3EE9" w:rsidP="00BA3EE9">
      <w:pPr>
        <w:rPr>
          <w:rFonts w:ascii="IBM Plex Sans" w:hAnsi="IBM Plex Sans"/>
        </w:rPr>
      </w:pPr>
      <w:r w:rsidRPr="00BA3EE9">
        <w:rPr>
          <w:rFonts w:ascii="IBM Plex Sans" w:hAnsi="IBM Plex Sans"/>
        </w:rPr>
        <w:t>As part of our implementation, we leverage Medallion Architecture to ensure a robust and scalable data pipeline. This architecture is structured around three layers:</w:t>
      </w:r>
    </w:p>
    <w:p w14:paraId="67E44511" w14:textId="77777777" w:rsidR="00BA3EE9" w:rsidRPr="00BA3EE9" w:rsidRDefault="00BA3EE9" w:rsidP="00BA3EE9">
      <w:pPr>
        <w:pStyle w:val="ListParagraph"/>
        <w:numPr>
          <w:ilvl w:val="0"/>
          <w:numId w:val="19"/>
        </w:numPr>
        <w:rPr>
          <w:rFonts w:ascii="IBM Plex Sans" w:hAnsi="IBM Plex Sans"/>
          <w:color w:val="000000" w:themeColor="text1"/>
        </w:rPr>
      </w:pPr>
      <w:r w:rsidRPr="00BA3EE9">
        <w:rPr>
          <w:rFonts w:ascii="IBM Plex Sans" w:hAnsi="IBM Plex Sans"/>
          <w:color w:val="000000" w:themeColor="text1"/>
        </w:rPr>
        <w:t>Bronze Layer: Raw, unprocessed data captured in its original format.</w:t>
      </w:r>
    </w:p>
    <w:p w14:paraId="3B3A8447" w14:textId="77777777" w:rsidR="00BA3EE9" w:rsidRPr="00BA3EE9" w:rsidRDefault="00BA3EE9" w:rsidP="00BA3EE9">
      <w:pPr>
        <w:pStyle w:val="ListParagraph"/>
        <w:numPr>
          <w:ilvl w:val="0"/>
          <w:numId w:val="19"/>
        </w:numPr>
        <w:rPr>
          <w:rFonts w:ascii="IBM Plex Sans" w:hAnsi="IBM Plex Sans"/>
          <w:color w:val="000000" w:themeColor="text1"/>
        </w:rPr>
      </w:pPr>
      <w:r w:rsidRPr="00BA3EE9">
        <w:rPr>
          <w:rFonts w:ascii="IBM Plex Sans" w:hAnsi="IBM Plex Sans"/>
          <w:color w:val="000000" w:themeColor="text1"/>
        </w:rPr>
        <w:t>Silver Layer: Cleaned and enriched data ready for business-specific processing.</w:t>
      </w:r>
    </w:p>
    <w:p w14:paraId="4EF16F3C" w14:textId="77777777" w:rsidR="00BA3EE9" w:rsidRPr="00BA3EE9" w:rsidRDefault="00BA3EE9" w:rsidP="00BA3EE9">
      <w:pPr>
        <w:pStyle w:val="ListParagraph"/>
        <w:numPr>
          <w:ilvl w:val="0"/>
          <w:numId w:val="19"/>
        </w:numPr>
        <w:rPr>
          <w:rFonts w:ascii="IBM Plex Sans" w:hAnsi="IBM Plex Sans"/>
          <w:color w:val="000000" w:themeColor="text1"/>
        </w:rPr>
      </w:pPr>
      <w:r w:rsidRPr="00BA3EE9">
        <w:rPr>
          <w:rFonts w:ascii="IBM Plex Sans" w:hAnsi="IBM Plex Sans"/>
          <w:color w:val="000000" w:themeColor="text1"/>
        </w:rPr>
        <w:t>Gold Layer: Aggregated, transformed data optimized for analytics and reporting.</w:t>
      </w:r>
    </w:p>
    <w:p w14:paraId="366762CE" w14:textId="24B4999F" w:rsidR="00A93678" w:rsidRDefault="00BA3EE9" w:rsidP="00093AF0">
      <w:pPr>
        <w:rPr>
          <w:rFonts w:ascii="IBM Plex Sans" w:hAnsi="IBM Plex Sans"/>
        </w:rPr>
      </w:pPr>
      <w:r w:rsidRPr="00BA3EE9">
        <w:rPr>
          <w:rFonts w:ascii="IBM Plex Sans" w:hAnsi="IBM Plex Sans"/>
        </w:rPr>
        <w:t>To support this architecture, we utilize three key files:</w:t>
      </w:r>
    </w:p>
    <w:p w14:paraId="3EE5F8CB" w14:textId="0580C5C4" w:rsidR="002D3662" w:rsidRPr="00483B9A" w:rsidRDefault="002D3662" w:rsidP="006708D9">
      <w:pPr>
        <w:pStyle w:val="Heading3"/>
        <w:rPr>
          <w:b/>
          <w:bCs w:val="0"/>
        </w:rPr>
      </w:pPr>
      <w:bookmarkStart w:id="12" w:name="_Toc183470295"/>
      <w:r w:rsidRPr="00483B9A">
        <w:rPr>
          <w:b/>
          <w:bCs w:val="0"/>
        </w:rPr>
        <w:t>3.2.1 Iceberg Data Load - Code Overview</w:t>
      </w:r>
      <w:bookmarkEnd w:id="12"/>
    </w:p>
    <w:p w14:paraId="07C6CA24" w14:textId="77777777" w:rsidR="00483B9A" w:rsidRDefault="00483B9A" w:rsidP="002D3662"/>
    <w:p w14:paraId="17865E90" w14:textId="527FB16F" w:rsidR="002D3662" w:rsidRPr="002D3662" w:rsidRDefault="002D3662" w:rsidP="002D3662">
      <w:pPr>
        <w:rPr>
          <w:rFonts w:ascii="IBM Plex Sans" w:hAnsi="IBM Plex Sans"/>
        </w:rPr>
      </w:pPr>
      <w:r w:rsidRPr="002D3662">
        <w:rPr>
          <w:rFonts w:ascii="IBM Plex Sans" w:hAnsi="IBM Plex Sans"/>
        </w:rPr>
        <w:t>This file is part of our Medallion architecture, and its primary focus is on loading data into the bronze, silver, and gold layers using Iceberg tables. Below are the key functions:</w:t>
      </w:r>
    </w:p>
    <w:p w14:paraId="5BE92639" w14:textId="723051FE" w:rsidR="002D3662" w:rsidRPr="002D3662" w:rsidRDefault="002D3662" w:rsidP="002D3662">
      <w:pPr>
        <w:rPr>
          <w:rFonts w:ascii="IBM Plex Sans" w:hAnsi="IBM Plex Sans"/>
        </w:rPr>
      </w:pPr>
      <w:proofErr w:type="spellStart"/>
      <w:r w:rsidRPr="004A5BF8">
        <w:rPr>
          <w:rFonts w:ascii="IBM Plex Sans" w:hAnsi="IBM Plex Sans"/>
          <w:b/>
          <w:bCs/>
        </w:rPr>
        <w:t>initialize_</w:t>
      </w:r>
      <w:proofErr w:type="gramStart"/>
      <w:r w:rsidR="004A5BF8" w:rsidRPr="004A5BF8">
        <w:rPr>
          <w:rFonts w:ascii="IBM Plex Sans" w:hAnsi="IBM Plex Sans"/>
          <w:b/>
          <w:bCs/>
        </w:rPr>
        <w:t>spark</w:t>
      </w:r>
      <w:proofErr w:type="spellEnd"/>
      <w:r w:rsidR="004A5BF8" w:rsidRPr="004A5BF8">
        <w:rPr>
          <w:rFonts w:ascii="IBM Plex Sans" w:hAnsi="IBM Plex Sans"/>
          <w:b/>
          <w:bCs/>
        </w:rPr>
        <w:t>(</w:t>
      </w:r>
      <w:proofErr w:type="gramEnd"/>
      <w:r w:rsidRPr="004A5BF8">
        <w:rPr>
          <w:rFonts w:ascii="IBM Plex Sans" w:hAnsi="IBM Plex Sans"/>
          <w:b/>
          <w:bCs/>
        </w:rPr>
        <w:t xml:space="preserve">): </w:t>
      </w:r>
      <w:r w:rsidRPr="002D3662">
        <w:rPr>
          <w:rFonts w:ascii="IBM Plex Sans" w:hAnsi="IBM Plex Sans"/>
        </w:rPr>
        <w:t>Sets up the Spark session with necessary configurations, including the connection to Watsonx.data, DB2, and Iceberg setup.</w:t>
      </w:r>
    </w:p>
    <w:p w14:paraId="4898FFF5" w14:textId="77777777" w:rsidR="002D3662" w:rsidRPr="002D3662" w:rsidRDefault="002D3662" w:rsidP="002D3662">
      <w:pPr>
        <w:rPr>
          <w:rFonts w:ascii="IBM Plex Sans" w:hAnsi="IBM Plex Sans"/>
        </w:rPr>
      </w:pPr>
      <w:proofErr w:type="spellStart"/>
      <w:r w:rsidRPr="004A5BF8">
        <w:rPr>
          <w:rFonts w:ascii="IBM Plex Sans" w:hAnsi="IBM Plex Sans"/>
          <w:b/>
          <w:bCs/>
        </w:rPr>
        <w:t>list_databases</w:t>
      </w:r>
      <w:proofErr w:type="spellEnd"/>
      <w:r w:rsidRPr="004A5BF8">
        <w:rPr>
          <w:rFonts w:ascii="IBM Plex Sans" w:hAnsi="IBM Plex Sans"/>
          <w:b/>
          <w:bCs/>
        </w:rPr>
        <w:t>(spark):</w:t>
      </w:r>
      <w:r w:rsidRPr="002D3662">
        <w:rPr>
          <w:rFonts w:ascii="IBM Plex Sans" w:hAnsi="IBM Plex Sans"/>
        </w:rPr>
        <w:t xml:space="preserve"> Lists the available databases from the </w:t>
      </w:r>
      <w:proofErr w:type="spellStart"/>
      <w:r w:rsidRPr="002D3662">
        <w:rPr>
          <w:rFonts w:ascii="IBM Plex Sans" w:hAnsi="IBM Plex Sans"/>
        </w:rPr>
        <w:t>lakehouse</w:t>
      </w:r>
      <w:proofErr w:type="spellEnd"/>
      <w:r w:rsidRPr="002D3662">
        <w:rPr>
          <w:rFonts w:ascii="IBM Plex Sans" w:hAnsi="IBM Plex Sans"/>
        </w:rPr>
        <w:t xml:space="preserve"> to ensure the connection is correctly established.</w:t>
      </w:r>
    </w:p>
    <w:p w14:paraId="0AF7CDE8" w14:textId="77777777" w:rsidR="002D3662" w:rsidRPr="002D3662" w:rsidRDefault="002D3662" w:rsidP="002D3662">
      <w:pPr>
        <w:rPr>
          <w:rFonts w:ascii="IBM Plex Sans" w:hAnsi="IBM Plex Sans"/>
        </w:rPr>
      </w:pPr>
      <w:proofErr w:type="spellStart"/>
      <w:r w:rsidRPr="004A5BF8">
        <w:rPr>
          <w:rFonts w:ascii="IBM Plex Sans" w:hAnsi="IBM Plex Sans"/>
          <w:b/>
          <w:bCs/>
        </w:rPr>
        <w:t>create_databases</w:t>
      </w:r>
      <w:proofErr w:type="spellEnd"/>
      <w:r w:rsidRPr="004A5BF8">
        <w:rPr>
          <w:rFonts w:ascii="IBM Plex Sans" w:hAnsi="IBM Plex Sans"/>
          <w:b/>
          <w:bCs/>
        </w:rPr>
        <w:t>(spark):</w:t>
      </w:r>
      <w:r w:rsidRPr="002D3662">
        <w:rPr>
          <w:rFonts w:ascii="IBM Plex Sans" w:hAnsi="IBM Plex Sans"/>
        </w:rPr>
        <w:t xml:space="preserve"> Creates the Bronze, Silver, and </w:t>
      </w:r>
      <w:proofErr w:type="gramStart"/>
      <w:r w:rsidRPr="002D3662">
        <w:rPr>
          <w:rFonts w:ascii="IBM Plex Sans" w:hAnsi="IBM Plex Sans"/>
        </w:rPr>
        <w:t>Gold</w:t>
      </w:r>
      <w:proofErr w:type="gramEnd"/>
      <w:r w:rsidRPr="002D3662">
        <w:rPr>
          <w:rFonts w:ascii="IBM Plex Sans" w:hAnsi="IBM Plex Sans"/>
        </w:rPr>
        <w:t xml:space="preserve"> databases in the </w:t>
      </w:r>
      <w:proofErr w:type="spellStart"/>
      <w:r w:rsidRPr="002D3662">
        <w:rPr>
          <w:rFonts w:ascii="IBM Plex Sans" w:hAnsi="IBM Plex Sans"/>
        </w:rPr>
        <w:t>lakehouse</w:t>
      </w:r>
      <w:proofErr w:type="spellEnd"/>
      <w:r w:rsidRPr="002D3662">
        <w:rPr>
          <w:rFonts w:ascii="IBM Plex Sans" w:hAnsi="IBM Plex Sans"/>
        </w:rPr>
        <w:t>, ensuring proper organization of the data layers.</w:t>
      </w:r>
    </w:p>
    <w:p w14:paraId="085FDB23" w14:textId="77777777" w:rsidR="002D3662" w:rsidRPr="002D3662" w:rsidRDefault="002D3662" w:rsidP="002D3662">
      <w:pPr>
        <w:rPr>
          <w:rFonts w:ascii="IBM Plex Sans" w:hAnsi="IBM Plex Sans"/>
        </w:rPr>
      </w:pPr>
      <w:r w:rsidRPr="004A5BF8">
        <w:rPr>
          <w:rFonts w:ascii="IBM Plex Sans" w:hAnsi="IBM Plex Sans"/>
          <w:b/>
          <w:bCs/>
        </w:rPr>
        <w:t>migrate_db2_to_bronze(spark):</w:t>
      </w:r>
      <w:r w:rsidRPr="002D3662">
        <w:rPr>
          <w:rFonts w:ascii="IBM Plex Sans" w:hAnsi="IBM Plex Sans"/>
        </w:rPr>
        <w:t xml:space="preserve"> Loads data from DB2 tables (e.g., HIST_SALES) into the </w:t>
      </w:r>
      <w:proofErr w:type="gramStart"/>
      <w:r w:rsidRPr="002D3662">
        <w:rPr>
          <w:rFonts w:ascii="IBM Plex Sans" w:hAnsi="IBM Plex Sans"/>
        </w:rPr>
        <w:t>Bronze</w:t>
      </w:r>
      <w:proofErr w:type="gramEnd"/>
      <w:r w:rsidRPr="002D3662">
        <w:rPr>
          <w:rFonts w:ascii="IBM Plex Sans" w:hAnsi="IBM Plex Sans"/>
        </w:rPr>
        <w:t xml:space="preserve"> layer as Iceberg tables, making it available for further processing in the Silver layer.</w:t>
      </w:r>
    </w:p>
    <w:p w14:paraId="186BFFA0" w14:textId="77777777" w:rsidR="00835E81" w:rsidRDefault="002D3662" w:rsidP="002D3662">
      <w:pPr>
        <w:rPr>
          <w:rFonts w:ascii="IBM Plex Sans" w:hAnsi="IBM Plex Sans"/>
        </w:rPr>
      </w:pPr>
      <w:proofErr w:type="spellStart"/>
      <w:r w:rsidRPr="004A5BF8">
        <w:rPr>
          <w:rFonts w:ascii="IBM Plex Sans" w:hAnsi="IBM Plex Sans"/>
          <w:b/>
          <w:bCs/>
        </w:rPr>
        <w:t>bronze_ingest_from_csv_temp_table</w:t>
      </w:r>
      <w:proofErr w:type="spellEnd"/>
      <w:r w:rsidRPr="004A5BF8">
        <w:rPr>
          <w:rFonts w:ascii="IBM Plex Sans" w:hAnsi="IBM Plex Sans"/>
          <w:b/>
          <w:bCs/>
        </w:rPr>
        <w:t>(spark):</w:t>
      </w:r>
      <w:r w:rsidRPr="002D3662">
        <w:rPr>
          <w:rFonts w:ascii="IBM Plex Sans" w:hAnsi="IBM Plex Sans"/>
        </w:rPr>
        <w:t xml:space="preserve"> Ingests CSV data (e.g., promotions) into the </w:t>
      </w:r>
      <w:proofErr w:type="gramStart"/>
      <w:r w:rsidRPr="002D3662">
        <w:rPr>
          <w:rFonts w:ascii="IBM Plex Sans" w:hAnsi="IBM Plex Sans"/>
        </w:rPr>
        <w:t>Bronze</w:t>
      </w:r>
      <w:proofErr w:type="gramEnd"/>
      <w:r w:rsidRPr="002D3662">
        <w:rPr>
          <w:rFonts w:ascii="IBM Plex Sans" w:hAnsi="IBM Plex Sans"/>
        </w:rPr>
        <w:t xml:space="preserve"> layer and creates a temporary table, ensuring the data is ready for transformation.</w:t>
      </w:r>
    </w:p>
    <w:p w14:paraId="304D33A9" w14:textId="12CE2EA3" w:rsidR="002D3662" w:rsidRPr="002D3662" w:rsidRDefault="002D3662" w:rsidP="002D3662">
      <w:pPr>
        <w:rPr>
          <w:rFonts w:ascii="IBM Plex Sans" w:hAnsi="IBM Plex Sans"/>
        </w:rPr>
      </w:pPr>
      <w:proofErr w:type="spellStart"/>
      <w:r w:rsidRPr="004A5BF8">
        <w:rPr>
          <w:rFonts w:ascii="IBM Plex Sans" w:hAnsi="IBM Plex Sans"/>
          <w:b/>
          <w:bCs/>
        </w:rPr>
        <w:lastRenderedPageBreak/>
        <w:t>create_enhanced_aggregated_sales_table</w:t>
      </w:r>
      <w:proofErr w:type="spellEnd"/>
      <w:r w:rsidRPr="004A5BF8">
        <w:rPr>
          <w:rFonts w:ascii="IBM Plex Sans" w:hAnsi="IBM Plex Sans"/>
          <w:b/>
          <w:bCs/>
        </w:rPr>
        <w:t>(spark):</w:t>
      </w:r>
      <w:r w:rsidRPr="002D3662">
        <w:rPr>
          <w:rFonts w:ascii="IBM Plex Sans" w:hAnsi="IBM Plex Sans"/>
        </w:rPr>
        <w:t xml:space="preserve"> Aggregates sales, stock, and promotions data to generate an enhanced sales table in the </w:t>
      </w:r>
      <w:r w:rsidR="00835E81" w:rsidRPr="002D3662">
        <w:rPr>
          <w:rFonts w:ascii="IBM Plex Sans" w:hAnsi="IBM Plex Sans"/>
        </w:rPr>
        <w:t>silver</w:t>
      </w:r>
      <w:r w:rsidRPr="002D3662">
        <w:rPr>
          <w:rFonts w:ascii="IBM Plex Sans" w:hAnsi="IBM Plex Sans"/>
        </w:rPr>
        <w:t xml:space="preserve"> layer for further analysis.</w:t>
      </w:r>
    </w:p>
    <w:p w14:paraId="184B517A" w14:textId="4950208F" w:rsidR="002D3662" w:rsidRPr="002D3662" w:rsidRDefault="002D3662" w:rsidP="002D3662">
      <w:pPr>
        <w:rPr>
          <w:rFonts w:ascii="IBM Plex Sans" w:hAnsi="IBM Plex Sans"/>
        </w:rPr>
      </w:pPr>
      <w:proofErr w:type="spellStart"/>
      <w:r w:rsidRPr="004A5BF8">
        <w:rPr>
          <w:rFonts w:ascii="IBM Plex Sans" w:hAnsi="IBM Plex Sans"/>
          <w:b/>
          <w:bCs/>
        </w:rPr>
        <w:t>create_customer_segmentation_table</w:t>
      </w:r>
      <w:proofErr w:type="spellEnd"/>
      <w:r w:rsidRPr="004A5BF8">
        <w:rPr>
          <w:rFonts w:ascii="IBM Plex Sans" w:hAnsi="IBM Plex Sans"/>
          <w:b/>
          <w:bCs/>
        </w:rPr>
        <w:t>(spark):</w:t>
      </w:r>
      <w:r w:rsidRPr="002D3662">
        <w:rPr>
          <w:rFonts w:ascii="IBM Plex Sans" w:hAnsi="IBM Plex Sans"/>
        </w:rPr>
        <w:t xml:space="preserve"> Segments customers based on their purchase patterns and demographic information, loading the results into the </w:t>
      </w:r>
      <w:r w:rsidR="00835E81" w:rsidRPr="002D3662">
        <w:rPr>
          <w:rFonts w:ascii="IBM Plex Sans" w:hAnsi="IBM Plex Sans"/>
        </w:rPr>
        <w:t>silver</w:t>
      </w:r>
      <w:r w:rsidRPr="002D3662">
        <w:rPr>
          <w:rFonts w:ascii="IBM Plex Sans" w:hAnsi="IBM Plex Sans"/>
        </w:rPr>
        <w:t xml:space="preserve"> layer for actionable insights.</w:t>
      </w:r>
    </w:p>
    <w:p w14:paraId="2B19F1BB" w14:textId="77777777" w:rsidR="002D3662" w:rsidRPr="002D3662" w:rsidRDefault="002D3662" w:rsidP="002D3662">
      <w:pPr>
        <w:rPr>
          <w:rFonts w:ascii="IBM Plex Sans" w:hAnsi="IBM Plex Sans"/>
        </w:rPr>
      </w:pPr>
      <w:r w:rsidRPr="002D3662">
        <w:rPr>
          <w:rFonts w:ascii="IBM Plex Sans" w:hAnsi="IBM Plex Sans"/>
        </w:rPr>
        <w:t>The entire process follows the Medallion architecture to ensure seamless data processing from raw (Bronze) to transformed (Silver) and finally aggregated (Gold) layers.</w:t>
      </w:r>
    </w:p>
    <w:p w14:paraId="19F641DD" w14:textId="487B5F2E" w:rsidR="00582A58" w:rsidRDefault="002D3662" w:rsidP="002D3662">
      <w:pPr>
        <w:rPr>
          <w:rFonts w:ascii="IBM Plex Sans" w:hAnsi="IBM Plex Sans"/>
        </w:rPr>
      </w:pPr>
      <w:r w:rsidRPr="002D3662">
        <w:rPr>
          <w:rFonts w:ascii="IBM Plex Sans" w:hAnsi="IBM Plex Sans"/>
        </w:rPr>
        <w:t xml:space="preserve">For the complete code, please check the </w:t>
      </w:r>
      <w:hyperlink r:id="rId11" w:history="1">
        <w:r w:rsidR="00927ADC">
          <w:rPr>
            <w:rStyle w:val="Hyperlink"/>
            <w:rFonts w:ascii="IBM Plex Sans" w:hAnsi="IBM Plex Sans"/>
          </w:rPr>
          <w:t>GitHub link</w:t>
        </w:r>
      </w:hyperlink>
      <w:r w:rsidRPr="002D3662">
        <w:rPr>
          <w:rFonts w:ascii="IBM Plex Sans" w:hAnsi="IBM Plex Sans"/>
        </w:rPr>
        <w:t>.</w:t>
      </w:r>
    </w:p>
    <w:p w14:paraId="39114945" w14:textId="7E99916F" w:rsidR="00130549" w:rsidRDefault="00130549" w:rsidP="00130549">
      <w:pPr>
        <w:pStyle w:val="Heading3"/>
        <w:rPr>
          <w:b/>
          <w:bCs w:val="0"/>
        </w:rPr>
      </w:pPr>
      <w:bookmarkStart w:id="13" w:name="_Toc183470296"/>
      <w:r w:rsidRPr="00483B9A">
        <w:rPr>
          <w:b/>
          <w:bCs w:val="0"/>
        </w:rPr>
        <w:t>3.2.</w:t>
      </w:r>
      <w:r>
        <w:rPr>
          <w:b/>
          <w:bCs w:val="0"/>
        </w:rPr>
        <w:t>2</w:t>
      </w:r>
      <w:r w:rsidRPr="00483B9A">
        <w:rPr>
          <w:b/>
          <w:bCs w:val="0"/>
        </w:rPr>
        <w:t xml:space="preserve"> </w:t>
      </w:r>
      <w:r>
        <w:rPr>
          <w:b/>
          <w:bCs w:val="0"/>
        </w:rPr>
        <w:t>Realtime</w:t>
      </w:r>
      <w:r w:rsidRPr="00483B9A">
        <w:rPr>
          <w:b/>
          <w:bCs w:val="0"/>
        </w:rPr>
        <w:t xml:space="preserve"> Data Load</w:t>
      </w:r>
      <w:r>
        <w:rPr>
          <w:b/>
          <w:bCs w:val="0"/>
        </w:rPr>
        <w:t xml:space="preserve"> generator</w:t>
      </w:r>
      <w:r w:rsidRPr="00483B9A">
        <w:rPr>
          <w:b/>
          <w:bCs w:val="0"/>
        </w:rPr>
        <w:t xml:space="preserve"> - Code Overview</w:t>
      </w:r>
      <w:bookmarkEnd w:id="13"/>
    </w:p>
    <w:p w14:paraId="6ED7F269" w14:textId="77777777" w:rsidR="008A303A" w:rsidRDefault="008A303A" w:rsidP="008A303A"/>
    <w:p w14:paraId="1F432771" w14:textId="77777777" w:rsidR="008A303A" w:rsidRPr="008A303A" w:rsidRDefault="008A303A" w:rsidP="008A303A">
      <w:pPr>
        <w:rPr>
          <w:rFonts w:ascii="IBM Plex Sans" w:hAnsi="IBM Plex Sans"/>
          <w:b/>
          <w:bCs/>
        </w:rPr>
      </w:pPr>
      <w:proofErr w:type="spellStart"/>
      <w:r w:rsidRPr="008A303A">
        <w:rPr>
          <w:rFonts w:ascii="IBM Plex Sans" w:hAnsi="IBM Plex Sans"/>
          <w:b/>
          <w:bCs/>
        </w:rPr>
        <w:t>setup_and_ingest_realtime_sales</w:t>
      </w:r>
      <w:proofErr w:type="spellEnd"/>
      <w:r w:rsidRPr="008A303A">
        <w:rPr>
          <w:rFonts w:ascii="IBM Plex Sans" w:hAnsi="IBM Plex Sans"/>
          <w:b/>
          <w:bCs/>
        </w:rPr>
        <w:t>(spark):</w:t>
      </w:r>
    </w:p>
    <w:p w14:paraId="3A3C666E" w14:textId="26B19945" w:rsidR="008A303A" w:rsidRDefault="008A303A" w:rsidP="008A303A">
      <w:pPr>
        <w:rPr>
          <w:rFonts w:ascii="IBM Plex Sans" w:hAnsi="IBM Plex Sans"/>
        </w:rPr>
      </w:pPr>
      <w:r w:rsidRPr="008A303A">
        <w:rPr>
          <w:rFonts w:ascii="IBM Plex Sans" w:hAnsi="IBM Plex Sans"/>
        </w:rPr>
        <w:t xml:space="preserve">This function is designed to set up the necessary configurations for the Spark session and handle the real-time ingestion of sales data into the bronze layer of the Delta Lake architecture. It creates a Delta table for real-time sales data and continuously ingests synthetic sales data, simulating a live sales environment. The data is stored in the </w:t>
      </w:r>
      <w:proofErr w:type="spellStart"/>
      <w:r w:rsidRPr="008A303A">
        <w:rPr>
          <w:rFonts w:ascii="IBM Plex Sans" w:hAnsi="IBM Plex Sans"/>
        </w:rPr>
        <w:t>realtime_sales_new</w:t>
      </w:r>
      <w:proofErr w:type="spellEnd"/>
      <w:r w:rsidRPr="008A303A">
        <w:rPr>
          <w:rFonts w:ascii="IBM Plex Sans" w:hAnsi="IBM Plex Sans"/>
        </w:rPr>
        <w:t xml:space="preserve"> table in the bronze layer for further processing and analysis.</w:t>
      </w:r>
    </w:p>
    <w:p w14:paraId="261CB626" w14:textId="43EF8AE6" w:rsidR="00F325C3" w:rsidRPr="008A303A" w:rsidRDefault="00F325C3" w:rsidP="008A303A">
      <w:pPr>
        <w:rPr>
          <w:rFonts w:ascii="IBM Plex Sans" w:hAnsi="IBM Plex Sans"/>
        </w:rPr>
      </w:pPr>
      <w:r>
        <w:rPr>
          <w:rFonts w:ascii="IBM Plex Sans" w:hAnsi="IBM Plex Sans"/>
        </w:rPr>
        <w:t xml:space="preserve">For the complete code, please check the </w:t>
      </w:r>
      <w:hyperlink r:id="rId12" w:history="1">
        <w:r>
          <w:rPr>
            <w:rStyle w:val="Hyperlink"/>
            <w:rFonts w:ascii="IBM Plex Sans" w:hAnsi="IBM Plex Sans"/>
          </w:rPr>
          <w:t>GitHub link</w:t>
        </w:r>
      </w:hyperlink>
      <w:r>
        <w:rPr>
          <w:rFonts w:ascii="IBM Plex Sans" w:hAnsi="IBM Plex Sans"/>
        </w:rPr>
        <w:t>.</w:t>
      </w:r>
    </w:p>
    <w:p w14:paraId="2403BE35" w14:textId="77777777" w:rsidR="00130549" w:rsidRDefault="00130549" w:rsidP="002D3662">
      <w:pPr>
        <w:rPr>
          <w:rFonts w:ascii="IBM Plex Sans" w:hAnsi="IBM Plex Sans"/>
        </w:rPr>
      </w:pPr>
    </w:p>
    <w:p w14:paraId="5D69CFB1" w14:textId="4194FB55" w:rsidR="00C10BD2" w:rsidRDefault="00C10BD2" w:rsidP="00FE60D3">
      <w:pPr>
        <w:pStyle w:val="Heading3"/>
        <w:rPr>
          <w:b/>
          <w:bCs w:val="0"/>
        </w:rPr>
      </w:pPr>
      <w:bookmarkStart w:id="14" w:name="_Toc183470297"/>
      <w:r w:rsidRPr="00FE60D3">
        <w:rPr>
          <w:b/>
          <w:bCs w:val="0"/>
        </w:rPr>
        <w:t>3.2.</w:t>
      </w:r>
      <w:r w:rsidR="00A12154" w:rsidRPr="00FE60D3">
        <w:rPr>
          <w:b/>
          <w:bCs w:val="0"/>
        </w:rPr>
        <w:t>3</w:t>
      </w:r>
      <w:r w:rsidRPr="00FE60D3">
        <w:rPr>
          <w:b/>
          <w:bCs w:val="0"/>
        </w:rPr>
        <w:t xml:space="preserve"> </w:t>
      </w:r>
      <w:r w:rsidR="00907234" w:rsidRPr="00FE60D3">
        <w:rPr>
          <w:b/>
          <w:bCs w:val="0"/>
        </w:rPr>
        <w:t>Delta</w:t>
      </w:r>
      <w:r w:rsidR="00907234">
        <w:rPr>
          <w:b/>
          <w:bCs w:val="0"/>
        </w:rPr>
        <w:t xml:space="preserve"> </w:t>
      </w:r>
      <w:r w:rsidR="00907234" w:rsidRPr="00FE60D3">
        <w:rPr>
          <w:b/>
          <w:bCs w:val="0"/>
        </w:rPr>
        <w:t>Lake</w:t>
      </w:r>
      <w:r w:rsidRPr="00FE60D3">
        <w:rPr>
          <w:b/>
          <w:bCs w:val="0"/>
        </w:rPr>
        <w:t xml:space="preserve"> Data Load - Code Overview</w:t>
      </w:r>
      <w:bookmarkEnd w:id="14"/>
    </w:p>
    <w:p w14:paraId="75F4605E" w14:textId="77777777" w:rsidR="00FE60D3" w:rsidRPr="00FE60D3" w:rsidRDefault="00FE60D3" w:rsidP="00FE60D3"/>
    <w:p w14:paraId="58058BC8" w14:textId="724BFB9A" w:rsidR="00D2718B" w:rsidRDefault="00D2718B" w:rsidP="00C10BD2">
      <w:pPr>
        <w:rPr>
          <w:rFonts w:ascii="IBM Plex Sans" w:hAnsi="IBM Plex Sans"/>
        </w:rPr>
      </w:pPr>
      <w:r w:rsidRPr="00D2718B">
        <w:rPr>
          <w:rFonts w:ascii="IBM Plex Sans" w:hAnsi="IBM Plex Sans"/>
        </w:rPr>
        <w:t>This file is part of our Medallion architecture, and its primary focus is on processing customer segmentation, sales data, promotional messages, product recommendations, and creating databases for seamless data flow using Delta Lake. The data is processed and stored in the bronze, silver, and gold layers, following a structured approach. Below are the key functions:</w:t>
      </w:r>
    </w:p>
    <w:p w14:paraId="49861EED" w14:textId="38816883" w:rsidR="00D2718B" w:rsidRPr="00D2718B" w:rsidRDefault="00D2718B" w:rsidP="00D2718B">
      <w:pPr>
        <w:rPr>
          <w:rFonts w:ascii="IBM Plex Sans" w:hAnsi="IBM Plex Sans"/>
          <w:b/>
          <w:bCs/>
          <w:lang w:val="en-IN"/>
        </w:rPr>
      </w:pPr>
      <w:r w:rsidRPr="00D2718B">
        <w:rPr>
          <w:rFonts w:ascii="IBM Plex Sans" w:hAnsi="IBM Plex Sans"/>
          <w:b/>
          <w:bCs/>
          <w:lang w:val="en-IN"/>
        </w:rPr>
        <w:t xml:space="preserve"> </w:t>
      </w:r>
      <w:proofErr w:type="spellStart"/>
      <w:r w:rsidRPr="00D2718B">
        <w:rPr>
          <w:rFonts w:ascii="IBM Plex Sans" w:hAnsi="IBM Plex Sans"/>
          <w:b/>
          <w:bCs/>
          <w:lang w:val="en-IN"/>
        </w:rPr>
        <w:t>create_databases</w:t>
      </w:r>
      <w:proofErr w:type="spellEnd"/>
      <w:r w:rsidRPr="00D2718B">
        <w:rPr>
          <w:rFonts w:ascii="IBM Plex Sans" w:hAnsi="IBM Plex Sans"/>
          <w:b/>
          <w:bCs/>
          <w:lang w:val="en-IN"/>
        </w:rPr>
        <w:t>(spark):</w:t>
      </w:r>
    </w:p>
    <w:p w14:paraId="395D4FDA" w14:textId="77777777" w:rsidR="00D2718B" w:rsidRPr="00D2718B" w:rsidRDefault="00D2718B" w:rsidP="00D2718B">
      <w:pPr>
        <w:rPr>
          <w:rFonts w:ascii="IBM Plex Sans" w:hAnsi="IBM Plex Sans"/>
          <w:lang w:val="en-IN"/>
        </w:rPr>
      </w:pPr>
      <w:r w:rsidRPr="00D2718B">
        <w:rPr>
          <w:rFonts w:ascii="IBM Plex Sans" w:hAnsi="IBM Plex Sans"/>
          <w:lang w:val="en-IN"/>
        </w:rPr>
        <w:t>Sets up the Bronze, Silver, and Gold databases in the lakehouse to ensure the proper organization of data across different layers. This function initializes the database structure required for seamless data processing.</w:t>
      </w:r>
    </w:p>
    <w:p w14:paraId="4BCD2B4C" w14:textId="48AE17B3" w:rsidR="00D2718B" w:rsidRPr="00D2718B" w:rsidRDefault="00D2718B" w:rsidP="00D2718B">
      <w:pPr>
        <w:rPr>
          <w:rFonts w:ascii="IBM Plex Sans" w:hAnsi="IBM Plex Sans"/>
          <w:b/>
          <w:bCs/>
          <w:lang w:val="en-IN"/>
        </w:rPr>
      </w:pPr>
      <w:r w:rsidRPr="00D2718B">
        <w:rPr>
          <w:rFonts w:ascii="IBM Plex Sans" w:hAnsi="IBM Plex Sans"/>
          <w:b/>
          <w:bCs/>
          <w:lang w:val="en-IN"/>
        </w:rPr>
        <w:t xml:space="preserve"> </w:t>
      </w:r>
      <w:proofErr w:type="spellStart"/>
      <w:r w:rsidRPr="00D2718B">
        <w:rPr>
          <w:rFonts w:ascii="IBM Plex Sans" w:hAnsi="IBM Plex Sans"/>
          <w:b/>
          <w:bCs/>
          <w:lang w:val="en-IN"/>
        </w:rPr>
        <w:t>process_promotions</w:t>
      </w:r>
      <w:proofErr w:type="spellEnd"/>
      <w:r w:rsidRPr="00D2718B">
        <w:rPr>
          <w:rFonts w:ascii="IBM Plex Sans" w:hAnsi="IBM Plex Sans"/>
          <w:b/>
          <w:bCs/>
          <w:lang w:val="en-IN"/>
        </w:rPr>
        <w:t>(spark):</w:t>
      </w:r>
    </w:p>
    <w:p w14:paraId="1902D8EE" w14:textId="77777777" w:rsidR="00D2718B" w:rsidRPr="00D2718B" w:rsidRDefault="00D2718B" w:rsidP="00D2718B">
      <w:pPr>
        <w:rPr>
          <w:rFonts w:ascii="IBM Plex Sans" w:hAnsi="IBM Plex Sans"/>
          <w:lang w:val="en-IN"/>
        </w:rPr>
      </w:pPr>
      <w:r w:rsidRPr="00D2718B">
        <w:rPr>
          <w:rFonts w:ascii="IBM Plex Sans" w:hAnsi="IBM Plex Sans"/>
          <w:lang w:val="en-IN"/>
        </w:rPr>
        <w:t>Generates promotional messages for different customer segments based on their purchase patterns and segments. It processes customer data, creates targeted promotional messages, and saves the results into the Gold layer.</w:t>
      </w:r>
    </w:p>
    <w:p w14:paraId="1D48DF88" w14:textId="6B43BE66" w:rsidR="00D2718B" w:rsidRPr="00D2718B" w:rsidRDefault="00D2718B" w:rsidP="00D2718B">
      <w:pPr>
        <w:rPr>
          <w:rFonts w:ascii="IBM Plex Sans" w:hAnsi="IBM Plex Sans"/>
          <w:b/>
          <w:bCs/>
          <w:lang w:val="en-IN"/>
        </w:rPr>
      </w:pPr>
      <w:proofErr w:type="spellStart"/>
      <w:r w:rsidRPr="00D2718B">
        <w:rPr>
          <w:rFonts w:ascii="IBM Plex Sans" w:hAnsi="IBM Plex Sans"/>
          <w:b/>
          <w:bCs/>
          <w:lang w:val="en-IN"/>
        </w:rPr>
        <w:lastRenderedPageBreak/>
        <w:t>product_Sales_Data</w:t>
      </w:r>
      <w:proofErr w:type="spellEnd"/>
      <w:r w:rsidRPr="00D2718B">
        <w:rPr>
          <w:rFonts w:ascii="IBM Plex Sans" w:hAnsi="IBM Plex Sans"/>
          <w:b/>
          <w:bCs/>
          <w:lang w:val="en-IN"/>
        </w:rPr>
        <w:t>(spark):</w:t>
      </w:r>
    </w:p>
    <w:p w14:paraId="0FB4194F" w14:textId="77777777" w:rsidR="00D2718B" w:rsidRPr="00D2718B" w:rsidRDefault="00D2718B" w:rsidP="00D2718B">
      <w:pPr>
        <w:rPr>
          <w:rFonts w:ascii="IBM Plex Sans" w:hAnsi="IBM Plex Sans"/>
          <w:lang w:val="en-IN"/>
        </w:rPr>
      </w:pPr>
      <w:r w:rsidRPr="00D2718B">
        <w:rPr>
          <w:rFonts w:ascii="IBM Plex Sans" w:hAnsi="IBM Plex Sans"/>
          <w:lang w:val="en-IN"/>
        </w:rPr>
        <w:t>Loads and processes product sales data from various sources, aggregates it for analysis, and saves it in the Silver layer for deeper insights into sales performance.</w:t>
      </w:r>
    </w:p>
    <w:p w14:paraId="0B3BA852" w14:textId="21F333BE" w:rsidR="00D2718B" w:rsidRPr="00D2718B" w:rsidRDefault="00D2718B" w:rsidP="00D2718B">
      <w:pPr>
        <w:rPr>
          <w:rFonts w:ascii="IBM Plex Sans" w:hAnsi="IBM Plex Sans"/>
          <w:b/>
          <w:bCs/>
          <w:lang w:val="en-IN"/>
        </w:rPr>
      </w:pPr>
      <w:proofErr w:type="spellStart"/>
      <w:r w:rsidRPr="00D2718B">
        <w:rPr>
          <w:rFonts w:ascii="IBM Plex Sans" w:hAnsi="IBM Plex Sans"/>
          <w:b/>
          <w:bCs/>
          <w:lang w:val="en-IN"/>
        </w:rPr>
        <w:t>process_sales_data</w:t>
      </w:r>
      <w:proofErr w:type="spellEnd"/>
      <w:r w:rsidRPr="00D2718B">
        <w:rPr>
          <w:rFonts w:ascii="IBM Plex Sans" w:hAnsi="IBM Plex Sans"/>
          <w:b/>
          <w:bCs/>
          <w:lang w:val="en-IN"/>
        </w:rPr>
        <w:t>(spark):</w:t>
      </w:r>
    </w:p>
    <w:p w14:paraId="0AB5033F" w14:textId="77777777" w:rsidR="00D2718B" w:rsidRPr="00D2718B" w:rsidRDefault="00D2718B" w:rsidP="00D2718B">
      <w:pPr>
        <w:rPr>
          <w:rFonts w:ascii="IBM Plex Sans" w:hAnsi="IBM Plex Sans"/>
          <w:lang w:val="en-IN"/>
        </w:rPr>
      </w:pPr>
      <w:r w:rsidRPr="00D2718B">
        <w:rPr>
          <w:rFonts w:ascii="IBM Plex Sans" w:hAnsi="IBM Plex Sans"/>
          <w:lang w:val="en-IN"/>
        </w:rPr>
        <w:t>Handles the transformation of raw sales data into usable insights by aggregating and processing it. This data is then stored in the Silver layer for further analysis and reporting.</w:t>
      </w:r>
    </w:p>
    <w:p w14:paraId="5D4A36DE" w14:textId="0C6A2192" w:rsidR="00D2718B" w:rsidRPr="00D2718B" w:rsidRDefault="00D2718B" w:rsidP="00D2718B">
      <w:pPr>
        <w:rPr>
          <w:rFonts w:ascii="IBM Plex Sans" w:hAnsi="IBM Plex Sans"/>
          <w:b/>
          <w:bCs/>
          <w:lang w:val="en-IN"/>
        </w:rPr>
      </w:pPr>
      <w:proofErr w:type="spellStart"/>
      <w:r w:rsidRPr="00D2718B">
        <w:rPr>
          <w:rFonts w:ascii="IBM Plex Sans" w:hAnsi="IBM Plex Sans"/>
          <w:b/>
          <w:bCs/>
          <w:lang w:val="en-IN"/>
        </w:rPr>
        <w:t>recommend_products_and_accessories_per_customer</w:t>
      </w:r>
      <w:proofErr w:type="spellEnd"/>
      <w:r w:rsidRPr="00D2718B">
        <w:rPr>
          <w:rFonts w:ascii="IBM Plex Sans" w:hAnsi="IBM Plex Sans"/>
          <w:b/>
          <w:bCs/>
          <w:lang w:val="en-IN"/>
        </w:rPr>
        <w:t>(spark):</w:t>
      </w:r>
    </w:p>
    <w:p w14:paraId="0327B838" w14:textId="77777777" w:rsidR="00D2718B" w:rsidRDefault="00D2718B" w:rsidP="00D2718B">
      <w:pPr>
        <w:rPr>
          <w:rFonts w:ascii="IBM Plex Sans" w:hAnsi="IBM Plex Sans"/>
          <w:lang w:val="en-IN"/>
        </w:rPr>
      </w:pPr>
      <w:r w:rsidRPr="00D2718B">
        <w:rPr>
          <w:rFonts w:ascii="IBM Plex Sans" w:hAnsi="IBM Plex Sans"/>
          <w:lang w:val="en-IN"/>
        </w:rPr>
        <w:t>Uses machine learning models or rule-based logic to recommend products and accessories to customers based on their purchase history, increasing customer engagement and sales.</w:t>
      </w:r>
    </w:p>
    <w:p w14:paraId="70FCD577" w14:textId="77777777" w:rsidR="00EA1E86" w:rsidRDefault="00EA1E86" w:rsidP="00EA1E86">
      <w:pPr>
        <w:rPr>
          <w:rFonts w:ascii="IBM Plex Sans" w:hAnsi="IBM Plex Sans"/>
          <w:lang w:val="en-IN"/>
        </w:rPr>
      </w:pPr>
      <w:r w:rsidRPr="00EA1E86">
        <w:rPr>
          <w:rFonts w:ascii="IBM Plex Sans" w:hAnsi="IBM Plex Sans"/>
          <w:lang w:val="en-IN"/>
        </w:rPr>
        <w:t>These functions ensure seamless data processing from raw data ingestion to transformation and final output generation.</w:t>
      </w:r>
    </w:p>
    <w:p w14:paraId="1CED157F" w14:textId="30D153C3" w:rsidR="00EA1E86" w:rsidRDefault="00EA1E86" w:rsidP="00EA1E86">
      <w:pPr>
        <w:rPr>
          <w:rFonts w:ascii="IBM Plex Sans" w:hAnsi="IBM Plex Sans"/>
          <w:lang w:val="en-IN"/>
        </w:rPr>
      </w:pPr>
      <w:r w:rsidRPr="00EA1E86">
        <w:rPr>
          <w:rFonts w:ascii="IBM Plex Sans" w:hAnsi="IBM Plex Sans"/>
          <w:lang w:val="en-IN"/>
        </w:rPr>
        <w:t xml:space="preserve">For the complete code, please check the </w:t>
      </w:r>
      <w:hyperlink r:id="rId13" w:history="1">
        <w:r w:rsidR="006134D9" w:rsidRPr="006134D9">
          <w:rPr>
            <w:rStyle w:val="Hyperlink"/>
            <w:rFonts w:ascii="IBM Plex Sans" w:hAnsi="IBM Plex Sans"/>
            <w:lang w:val="en-IN"/>
          </w:rPr>
          <w:t>GitHub link</w:t>
        </w:r>
      </w:hyperlink>
      <w:r w:rsidRPr="00EA1E86">
        <w:rPr>
          <w:rFonts w:ascii="IBM Plex Sans" w:hAnsi="IBM Plex Sans"/>
          <w:lang w:val="en-IN"/>
        </w:rPr>
        <w:t>.</w:t>
      </w:r>
    </w:p>
    <w:p w14:paraId="0B3FD1F0" w14:textId="648063F5" w:rsidR="006537D4" w:rsidRDefault="006537D4" w:rsidP="006537D4">
      <w:pPr>
        <w:pStyle w:val="Heading1"/>
        <w:rPr>
          <w:rFonts w:ascii="IBM Plex Sans" w:hAnsi="IBM Plex Sans"/>
          <w:b/>
          <w:bCs w:val="0"/>
        </w:rPr>
      </w:pPr>
      <w:bookmarkStart w:id="15" w:name="_Toc183470298"/>
      <w:r w:rsidRPr="00496072">
        <w:rPr>
          <w:rFonts w:ascii="IBM Plex Sans" w:hAnsi="IBM Plex Sans"/>
          <w:b/>
          <w:bCs w:val="0"/>
          <w:lang w:val="en-IN"/>
        </w:rPr>
        <w:t xml:space="preserve">4 </w:t>
      </w:r>
      <w:r w:rsidRPr="00496072">
        <w:rPr>
          <w:rFonts w:ascii="IBM Plex Sans" w:hAnsi="IBM Plex Sans"/>
          <w:b/>
          <w:bCs w:val="0"/>
        </w:rPr>
        <w:t>Analytics with Cognos and Watsonx.data Integration</w:t>
      </w:r>
      <w:bookmarkEnd w:id="15"/>
    </w:p>
    <w:p w14:paraId="281C874B" w14:textId="77777777" w:rsidR="000E211F" w:rsidRDefault="000E211F" w:rsidP="000E211F"/>
    <w:p w14:paraId="0B6911AA" w14:textId="77777777" w:rsidR="000E211F" w:rsidRPr="000E211F" w:rsidRDefault="000E211F" w:rsidP="000E211F">
      <w:pPr>
        <w:rPr>
          <w:rFonts w:ascii="IBM Plex Sans" w:hAnsi="IBM Plex Sans"/>
          <w:lang w:val="en-IN"/>
        </w:rPr>
      </w:pPr>
      <w:r w:rsidRPr="000E211F">
        <w:rPr>
          <w:rFonts w:ascii="IBM Plex Sans" w:hAnsi="IBM Plex Sans"/>
          <w:lang w:val="en-IN"/>
        </w:rPr>
        <w:t>In today's data-driven business environment, leveraging advanced analytics tools is crucial for gaining insights and making informed decisions. Cognos Analytics provides an intuitive platform to create powerful dashboards and reports. By integrating Cognos with Watsonx.data, you can easily access and analyze large datasets stored in your Gold layer to uncover actionable insights.</w:t>
      </w:r>
    </w:p>
    <w:p w14:paraId="5899625F" w14:textId="77777777" w:rsidR="000E211F" w:rsidRPr="000E211F" w:rsidRDefault="000E211F" w:rsidP="000E211F">
      <w:pPr>
        <w:rPr>
          <w:rFonts w:ascii="IBM Plex Sans" w:hAnsi="IBM Plex Sans"/>
          <w:lang w:val="en-IN"/>
        </w:rPr>
      </w:pPr>
      <w:r w:rsidRPr="000E211F">
        <w:rPr>
          <w:rFonts w:ascii="IBM Plex Sans" w:hAnsi="IBM Plex Sans"/>
          <w:lang w:val="en-IN"/>
        </w:rPr>
        <w:t>This integration enables you to connect seamlessly to your Watsonx.data environment, allowing you to use the data stored in Gold layer tables for various analytics purposes. With this setup, you can efficiently explore data, build reports, and design dashboards that meet your business needs.</w:t>
      </w:r>
    </w:p>
    <w:p w14:paraId="693EAD5A" w14:textId="2D15BA1F" w:rsidR="000E211F" w:rsidRDefault="000E211F" w:rsidP="000E211F">
      <w:pPr>
        <w:pStyle w:val="Heading2"/>
        <w:rPr>
          <w:lang w:val="en-IN"/>
        </w:rPr>
      </w:pPr>
      <w:bookmarkStart w:id="16" w:name="_Toc183470299"/>
      <w:r>
        <w:rPr>
          <w:lang w:val="en-IN"/>
        </w:rPr>
        <w:t xml:space="preserve">4.1 </w:t>
      </w:r>
      <w:r w:rsidRPr="000E211F">
        <w:rPr>
          <w:lang w:val="en-IN"/>
        </w:rPr>
        <w:t>Integrating Cognos with Watsonx.data</w:t>
      </w:r>
      <w:bookmarkEnd w:id="16"/>
    </w:p>
    <w:p w14:paraId="10194DD5" w14:textId="77777777" w:rsidR="000E211F" w:rsidRPr="000E211F" w:rsidRDefault="000E211F" w:rsidP="000E211F">
      <w:pPr>
        <w:rPr>
          <w:lang w:val="en-IN"/>
        </w:rPr>
      </w:pPr>
    </w:p>
    <w:p w14:paraId="248D3A1A" w14:textId="77777777" w:rsidR="000E211F" w:rsidRPr="000E211F" w:rsidRDefault="000E211F" w:rsidP="000E211F">
      <w:pPr>
        <w:rPr>
          <w:rFonts w:ascii="IBM Plex Sans" w:hAnsi="IBM Plex Sans"/>
          <w:lang w:val="en-IN"/>
        </w:rPr>
      </w:pPr>
      <w:r w:rsidRPr="000E211F">
        <w:rPr>
          <w:rFonts w:ascii="IBM Plex Sans" w:hAnsi="IBM Plex Sans"/>
          <w:lang w:val="en-IN"/>
        </w:rPr>
        <w:t>To integrate Cognos Analytics with Watsonx.data, follow these key steps:</w:t>
      </w:r>
    </w:p>
    <w:p w14:paraId="7653B630" w14:textId="77777777" w:rsidR="000E211F" w:rsidRDefault="000E211F" w:rsidP="000E211F">
      <w:pPr>
        <w:rPr>
          <w:rFonts w:ascii="IBM Plex Sans" w:hAnsi="IBM Plex Sans"/>
          <w:lang w:val="en-IN"/>
        </w:rPr>
      </w:pPr>
      <w:r w:rsidRPr="000E211F">
        <w:rPr>
          <w:rFonts w:ascii="IBM Plex Sans" w:hAnsi="IBM Plex Sans"/>
          <w:b/>
          <w:bCs/>
          <w:lang w:val="en-IN"/>
        </w:rPr>
        <w:t>Connection Setup:</w:t>
      </w:r>
      <w:r w:rsidRPr="000E211F">
        <w:rPr>
          <w:rFonts w:ascii="IBM Plex Sans" w:hAnsi="IBM Plex Sans"/>
          <w:lang w:val="en-IN"/>
        </w:rPr>
        <w:t xml:space="preserve"> Configure Cognos to connect to your Watsonx.data environment. This will allow Cognos to access the data stored in your Gold layer tables, making it available for further analysis.</w:t>
      </w:r>
    </w:p>
    <w:p w14:paraId="5922FFEF" w14:textId="3CA260E3" w:rsidR="000E211F" w:rsidRDefault="000E211F" w:rsidP="000E211F">
      <w:pPr>
        <w:rPr>
          <w:rFonts w:ascii="IBM Plex Sans" w:hAnsi="IBM Plex Sans"/>
          <w:lang w:val="en-IN"/>
        </w:rPr>
      </w:pPr>
      <w:r w:rsidRPr="000E211F">
        <w:rPr>
          <w:rFonts w:ascii="IBM Plex Sans" w:hAnsi="IBM Plex Sans"/>
          <w:b/>
          <w:bCs/>
          <w:lang w:val="en-IN"/>
        </w:rPr>
        <w:lastRenderedPageBreak/>
        <w:t>Accessing Data:</w:t>
      </w:r>
      <w:r w:rsidRPr="000E211F">
        <w:rPr>
          <w:rFonts w:ascii="IBM Plex Sans" w:hAnsi="IBM Plex Sans"/>
          <w:lang w:val="en-IN"/>
        </w:rPr>
        <w:t xml:space="preserve"> Once the integration is complete, Cognos can pull data directly from the Gold layer tables stored in Watsonx.data. This data can include various business metrics like sales, inventory, customer </w:t>
      </w:r>
      <w:r w:rsidR="00D70927" w:rsidRPr="000E211F">
        <w:rPr>
          <w:rFonts w:ascii="IBM Plex Sans" w:hAnsi="IBM Plex Sans"/>
          <w:lang w:val="en-IN"/>
        </w:rPr>
        <w:t>behaviour</w:t>
      </w:r>
      <w:r w:rsidRPr="000E211F">
        <w:rPr>
          <w:rFonts w:ascii="IBM Plex Sans" w:hAnsi="IBM Plex Sans"/>
          <w:lang w:val="en-IN"/>
        </w:rPr>
        <w:t>, and more.</w:t>
      </w:r>
    </w:p>
    <w:p w14:paraId="1CD6D27B" w14:textId="6FC4AA24" w:rsidR="000E211F" w:rsidRPr="000E211F" w:rsidRDefault="000E211F" w:rsidP="000E211F">
      <w:pPr>
        <w:rPr>
          <w:rFonts w:ascii="IBM Plex Sans" w:hAnsi="IBM Plex Sans"/>
          <w:lang w:val="en-IN"/>
        </w:rPr>
      </w:pPr>
      <w:r w:rsidRPr="000E211F">
        <w:rPr>
          <w:rFonts w:ascii="IBM Plex Sans" w:hAnsi="IBM Plex Sans"/>
          <w:b/>
          <w:bCs/>
          <w:lang w:val="en-IN"/>
        </w:rPr>
        <w:t>Creating Dashboards</w:t>
      </w:r>
      <w:r>
        <w:rPr>
          <w:rFonts w:ascii="IBM Plex Sans" w:hAnsi="IBM Plex Sans"/>
          <w:b/>
          <w:bCs/>
          <w:lang w:val="en-IN"/>
        </w:rPr>
        <w:t>/Reports</w:t>
      </w:r>
      <w:r w:rsidRPr="000E211F">
        <w:rPr>
          <w:rFonts w:ascii="IBM Plex Sans" w:hAnsi="IBM Plex Sans"/>
          <w:b/>
          <w:bCs/>
          <w:lang w:val="en-IN"/>
        </w:rPr>
        <w:t>:</w:t>
      </w:r>
      <w:r w:rsidRPr="000E211F">
        <w:rPr>
          <w:rFonts w:ascii="IBM Plex Sans" w:hAnsi="IBM Plex Sans"/>
          <w:lang w:val="en-IN"/>
        </w:rPr>
        <w:t xml:space="preserve"> With the data now available in Cognos, you can create custom dashboards that provide actionable insights. The Gold layer tables serve as the foundation for these dashboards, offering real-time and historical data that can be analysed to track business performance.</w:t>
      </w:r>
    </w:p>
    <w:p w14:paraId="02033CF9" w14:textId="1CDE4D27" w:rsidR="000E211F" w:rsidRDefault="000E211F" w:rsidP="000E211F">
      <w:pPr>
        <w:rPr>
          <w:rFonts w:ascii="IBM Plex Sans" w:hAnsi="IBM Plex Sans"/>
          <w:lang w:val="en-IN"/>
        </w:rPr>
      </w:pPr>
      <w:r w:rsidRPr="000E211F">
        <w:rPr>
          <w:rFonts w:ascii="IBM Plex Sans" w:hAnsi="IBM Plex Sans"/>
          <w:lang w:val="en-IN"/>
        </w:rPr>
        <w:t>For a detailed guide on how to connect Cognos with Watsonx.data, please refer to the screenshots and link provided. These resources will walk you through the steps to integrate and begin using your Gold</w:t>
      </w:r>
      <w:r>
        <w:rPr>
          <w:rFonts w:ascii="IBM Plex Sans" w:hAnsi="IBM Plex Sans"/>
          <w:lang w:val="en-IN"/>
        </w:rPr>
        <w:t>/Silver/Bronze</w:t>
      </w:r>
      <w:r w:rsidRPr="000E211F">
        <w:rPr>
          <w:rFonts w:ascii="IBM Plex Sans" w:hAnsi="IBM Plex Sans"/>
          <w:lang w:val="en-IN"/>
        </w:rPr>
        <w:t xml:space="preserve"> layer data in Cognos Analytics.</w:t>
      </w:r>
    </w:p>
    <w:p w14:paraId="70D19515" w14:textId="17FBE35F" w:rsidR="004E1718" w:rsidRPr="000E211F" w:rsidRDefault="004E1718" w:rsidP="000E211F">
      <w:pPr>
        <w:rPr>
          <w:rFonts w:ascii="IBM Plex Sans" w:hAnsi="IBM Plex Sans"/>
          <w:lang w:val="en-IN"/>
        </w:rPr>
      </w:pPr>
      <w:r>
        <w:rPr>
          <w:rFonts w:ascii="IBM Plex Sans" w:hAnsi="IBM Plex Sans"/>
          <w:lang w:val="en-IN"/>
        </w:rPr>
        <w:t xml:space="preserve">Refer </w:t>
      </w:r>
      <w:hyperlink r:id="rId14" w:history="1">
        <w:r w:rsidR="00F65895" w:rsidRPr="00F65895">
          <w:rPr>
            <w:rStyle w:val="Hyperlink"/>
            <w:rFonts w:ascii="IBM Plex Sans" w:hAnsi="IBM Plex Sans"/>
            <w:lang w:val="en-IN"/>
          </w:rPr>
          <w:t>this document</w:t>
        </w:r>
      </w:hyperlink>
      <w:r w:rsidR="00F65895">
        <w:rPr>
          <w:rFonts w:ascii="IBM Plex Sans" w:hAnsi="IBM Plex Sans"/>
          <w:lang w:val="en-IN"/>
        </w:rPr>
        <w:t>.</w:t>
      </w:r>
    </w:p>
    <w:p w14:paraId="51D69FED" w14:textId="77777777" w:rsidR="002D6407" w:rsidRDefault="002D6407" w:rsidP="006E6DB2">
      <w:pPr>
        <w:pStyle w:val="Heading2"/>
        <w:rPr>
          <w:lang w:val="en-IN"/>
        </w:rPr>
      </w:pPr>
    </w:p>
    <w:p w14:paraId="24EE9223" w14:textId="5631DC20" w:rsidR="000E211F" w:rsidRDefault="006E6DB2" w:rsidP="006E6DB2">
      <w:pPr>
        <w:pStyle w:val="Heading2"/>
        <w:rPr>
          <w:lang w:val="en-IN"/>
        </w:rPr>
      </w:pPr>
      <w:bookmarkStart w:id="17" w:name="_Toc183470300"/>
      <w:r>
        <w:rPr>
          <w:lang w:val="en-IN"/>
        </w:rPr>
        <w:t xml:space="preserve">4.2 </w:t>
      </w:r>
      <w:r w:rsidR="000E211F" w:rsidRPr="000E211F">
        <w:rPr>
          <w:lang w:val="en-IN"/>
        </w:rPr>
        <w:t>Product Profile Dashboard</w:t>
      </w:r>
      <w:bookmarkEnd w:id="17"/>
    </w:p>
    <w:p w14:paraId="36076EC9" w14:textId="77777777" w:rsidR="002D6407" w:rsidRDefault="002D6407" w:rsidP="000E211F">
      <w:pPr>
        <w:rPr>
          <w:lang w:val="en-IN"/>
        </w:rPr>
      </w:pPr>
    </w:p>
    <w:p w14:paraId="6F691AAF" w14:textId="24FDC1FB" w:rsidR="000E211F" w:rsidRPr="000E211F" w:rsidRDefault="000E211F" w:rsidP="000E211F">
      <w:pPr>
        <w:rPr>
          <w:rFonts w:ascii="IBM Plex Sans" w:hAnsi="IBM Plex Sans"/>
          <w:lang w:val="en-IN"/>
        </w:rPr>
      </w:pPr>
      <w:r w:rsidRPr="000E211F">
        <w:rPr>
          <w:rFonts w:ascii="IBM Plex Sans" w:hAnsi="IBM Plex Sans"/>
          <w:lang w:val="en-IN"/>
        </w:rPr>
        <w:t>As part of the initial analytics implementation, the Product Profile dashboard has been created. This dashboard leverages sales trend and prediction data from your  tables to provide an in-depth view of product performance. Key features of this dashboard include:</w:t>
      </w:r>
    </w:p>
    <w:p w14:paraId="40F415EC" w14:textId="77777777" w:rsidR="000E211F" w:rsidRPr="000E211F" w:rsidRDefault="000E211F" w:rsidP="000E211F">
      <w:pPr>
        <w:rPr>
          <w:rFonts w:ascii="IBM Plex Sans" w:hAnsi="IBM Plex Sans"/>
          <w:lang w:val="en-IN"/>
        </w:rPr>
      </w:pPr>
      <w:r w:rsidRPr="000E211F">
        <w:rPr>
          <w:rFonts w:ascii="IBM Plex Sans" w:hAnsi="IBM Plex Sans"/>
          <w:lang w:val="en-IN"/>
        </w:rPr>
        <w:t>Sales Trend Analysis: Visualizing product sales over time to track performance.</w:t>
      </w:r>
    </w:p>
    <w:p w14:paraId="6EF9D2F4" w14:textId="77777777" w:rsidR="000E211F" w:rsidRPr="000E211F" w:rsidRDefault="000E211F" w:rsidP="000E211F">
      <w:pPr>
        <w:rPr>
          <w:rFonts w:ascii="IBM Plex Sans" w:hAnsi="IBM Plex Sans"/>
          <w:lang w:val="en-IN"/>
        </w:rPr>
      </w:pPr>
      <w:r w:rsidRPr="000E211F">
        <w:rPr>
          <w:rFonts w:ascii="IBM Plex Sans" w:hAnsi="IBM Plex Sans"/>
          <w:lang w:val="en-IN"/>
        </w:rPr>
        <w:t>Sales Predictions: Forecasting future sales based on historical data and trends.</w:t>
      </w:r>
    </w:p>
    <w:p w14:paraId="011EBAC7" w14:textId="2AAF82B7" w:rsidR="000E211F" w:rsidRDefault="000E211F" w:rsidP="000E211F">
      <w:pPr>
        <w:rPr>
          <w:rFonts w:ascii="IBM Plex Sans" w:hAnsi="IBM Plex Sans"/>
          <w:lang w:val="en-IN"/>
        </w:rPr>
      </w:pPr>
      <w:r w:rsidRPr="000E211F">
        <w:rPr>
          <w:rFonts w:ascii="IBM Plex Sans" w:hAnsi="IBM Plex Sans"/>
          <w:lang w:val="en-IN"/>
        </w:rPr>
        <w:t>While the Product Profile dashboard serves as a starting point, it is only one example of the many insights you can gain by leveraging other tables.</w:t>
      </w:r>
    </w:p>
    <w:p w14:paraId="12F01992" w14:textId="2C39F4A9" w:rsidR="000E211F" w:rsidRPr="000E211F" w:rsidRDefault="0042289E" w:rsidP="000E211F">
      <w:pPr>
        <w:rPr>
          <w:rFonts w:ascii="IBM Plex Sans" w:hAnsi="IBM Plex Sans"/>
          <w:lang w:val="en-IN"/>
        </w:rPr>
      </w:pPr>
      <w:r w:rsidRPr="0042289E">
        <w:rPr>
          <w:rFonts w:ascii="IBM Plex Sans" w:hAnsi="IBM Plex Sans"/>
          <w:lang w:val="en-IN"/>
        </w:rPr>
        <w:lastRenderedPageBreak/>
        <w:drawing>
          <wp:inline distT="0" distB="0" distL="0" distR="0" wp14:anchorId="466BBE80" wp14:editId="7BBF6303">
            <wp:extent cx="5486400" cy="3077845"/>
            <wp:effectExtent l="0" t="0" r="0" b="0"/>
            <wp:docPr id="68953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2624" name=""/>
                    <pic:cNvPicPr/>
                  </pic:nvPicPr>
                  <pic:blipFill>
                    <a:blip r:embed="rId15"/>
                    <a:stretch>
                      <a:fillRect/>
                    </a:stretch>
                  </pic:blipFill>
                  <pic:spPr>
                    <a:xfrm>
                      <a:off x="0" y="0"/>
                      <a:ext cx="5486400" cy="3077845"/>
                    </a:xfrm>
                    <a:prstGeom prst="rect">
                      <a:avLst/>
                    </a:prstGeom>
                  </pic:spPr>
                </pic:pic>
              </a:graphicData>
            </a:graphic>
          </wp:inline>
        </w:drawing>
      </w:r>
    </w:p>
    <w:p w14:paraId="2011AF23" w14:textId="77777777" w:rsidR="000E211F" w:rsidRPr="004B5518" w:rsidRDefault="000E211F" w:rsidP="000E211F">
      <w:pPr>
        <w:rPr>
          <w:rFonts w:ascii="IBM Plex Sans" w:hAnsi="IBM Plex Sans"/>
          <w:b/>
          <w:bCs/>
          <w:lang w:val="en-IN"/>
        </w:rPr>
      </w:pPr>
      <w:r w:rsidRPr="004B5518">
        <w:rPr>
          <w:rFonts w:ascii="IBM Plex Sans" w:hAnsi="IBM Plex Sans"/>
          <w:b/>
          <w:bCs/>
          <w:lang w:val="en-IN"/>
        </w:rPr>
        <w:t>Expanding with Additional Dashboards</w:t>
      </w:r>
    </w:p>
    <w:p w14:paraId="6178A06D" w14:textId="77777777" w:rsidR="000E211F" w:rsidRPr="000E211F" w:rsidRDefault="000E211F" w:rsidP="000E211F">
      <w:pPr>
        <w:rPr>
          <w:rFonts w:ascii="IBM Plex Sans" w:hAnsi="IBM Plex Sans"/>
          <w:lang w:val="en-IN"/>
        </w:rPr>
      </w:pPr>
      <w:r w:rsidRPr="000E211F">
        <w:rPr>
          <w:rFonts w:ascii="IBM Plex Sans" w:hAnsi="IBM Plex Sans"/>
          <w:lang w:val="en-IN"/>
        </w:rPr>
        <w:t>Beyond the Product Profile dashboard, there are several other dashboards you can create using the data stored in Gold layer tables. Some potential dashboards include:</w:t>
      </w:r>
    </w:p>
    <w:p w14:paraId="4154A8A4" w14:textId="716BD551" w:rsidR="000E211F" w:rsidRPr="000E211F" w:rsidRDefault="000E211F" w:rsidP="000E211F">
      <w:pPr>
        <w:rPr>
          <w:rFonts w:ascii="IBM Plex Sans" w:hAnsi="IBM Plex Sans"/>
          <w:lang w:val="en-IN"/>
        </w:rPr>
      </w:pPr>
      <w:r w:rsidRPr="004E1718">
        <w:rPr>
          <w:rFonts w:ascii="IBM Plex Sans" w:hAnsi="IBM Plex Sans"/>
          <w:b/>
          <w:bCs/>
          <w:lang w:val="en-IN"/>
        </w:rPr>
        <w:t>Customer Segmentation:</w:t>
      </w:r>
      <w:r w:rsidRPr="000E211F">
        <w:rPr>
          <w:rFonts w:ascii="IBM Plex Sans" w:hAnsi="IBM Plex Sans"/>
          <w:lang w:val="en-IN"/>
        </w:rPr>
        <w:t xml:space="preserve"> Segment customers based on their purchasing </w:t>
      </w:r>
      <w:r w:rsidR="004B5518" w:rsidRPr="000E211F">
        <w:rPr>
          <w:rFonts w:ascii="IBM Plex Sans" w:hAnsi="IBM Plex Sans"/>
          <w:lang w:val="en-IN"/>
        </w:rPr>
        <w:t>behaviour</w:t>
      </w:r>
      <w:r w:rsidRPr="000E211F">
        <w:rPr>
          <w:rFonts w:ascii="IBM Plex Sans" w:hAnsi="IBM Plex Sans"/>
          <w:lang w:val="en-IN"/>
        </w:rPr>
        <w:t xml:space="preserve"> and demographics, enabling personalized marketing strategies.</w:t>
      </w:r>
    </w:p>
    <w:p w14:paraId="67D66F45" w14:textId="77777777" w:rsidR="000E211F" w:rsidRPr="000E211F" w:rsidRDefault="000E211F" w:rsidP="000E211F">
      <w:pPr>
        <w:rPr>
          <w:rFonts w:ascii="IBM Plex Sans" w:hAnsi="IBM Plex Sans"/>
          <w:lang w:val="en-IN"/>
        </w:rPr>
      </w:pPr>
      <w:r w:rsidRPr="004E1718">
        <w:rPr>
          <w:rFonts w:ascii="IBM Plex Sans" w:hAnsi="IBM Plex Sans"/>
          <w:b/>
          <w:bCs/>
          <w:lang w:val="en-IN"/>
        </w:rPr>
        <w:t>Promotional Effectiveness:</w:t>
      </w:r>
      <w:r w:rsidRPr="000E211F">
        <w:rPr>
          <w:rFonts w:ascii="IBM Plex Sans" w:hAnsi="IBM Plex Sans"/>
          <w:lang w:val="en-IN"/>
        </w:rPr>
        <w:t xml:space="preserve"> Measure the impact of different promotional campaigns on sales and customer engagement.</w:t>
      </w:r>
    </w:p>
    <w:p w14:paraId="2877A626" w14:textId="77777777" w:rsidR="000E211F" w:rsidRPr="000E211F" w:rsidRDefault="000E211F" w:rsidP="000E211F">
      <w:pPr>
        <w:rPr>
          <w:rFonts w:ascii="IBM Plex Sans" w:hAnsi="IBM Plex Sans"/>
          <w:lang w:val="en-IN"/>
        </w:rPr>
      </w:pPr>
      <w:r w:rsidRPr="004E1718">
        <w:rPr>
          <w:rFonts w:ascii="IBM Plex Sans" w:hAnsi="IBM Plex Sans"/>
          <w:b/>
          <w:bCs/>
          <w:lang w:val="en-IN"/>
        </w:rPr>
        <w:t>Inventory Management:</w:t>
      </w:r>
      <w:r w:rsidRPr="000E211F">
        <w:rPr>
          <w:rFonts w:ascii="IBM Plex Sans" w:hAnsi="IBM Plex Sans"/>
          <w:lang w:val="en-IN"/>
        </w:rPr>
        <w:t xml:space="preserve"> Visualize stock levels and forecast demand to optimize inventory management.</w:t>
      </w:r>
    </w:p>
    <w:p w14:paraId="4818938B" w14:textId="4F7158E7" w:rsidR="000E211F" w:rsidRDefault="000E211F" w:rsidP="000E211F">
      <w:r>
        <w:t>These dashboards, built on data from the tables, offer deeper insights into various aspects of the business, helping you to make data-driven decisions across multiple functions.</w:t>
      </w:r>
    </w:p>
    <w:p w14:paraId="45AA4E43" w14:textId="77777777" w:rsidR="000F546A" w:rsidRDefault="000F546A" w:rsidP="000E211F"/>
    <w:p w14:paraId="4D815204" w14:textId="77777777" w:rsidR="00A664A7" w:rsidRDefault="00A664A7" w:rsidP="000F546A">
      <w:pPr>
        <w:pStyle w:val="Heading1"/>
        <w:rPr>
          <w:b/>
          <w:bCs w:val="0"/>
        </w:rPr>
      </w:pPr>
    </w:p>
    <w:p w14:paraId="795E7ECF" w14:textId="0EA79164" w:rsidR="000F546A" w:rsidRDefault="000F546A" w:rsidP="000F546A">
      <w:pPr>
        <w:pStyle w:val="Heading1"/>
        <w:rPr>
          <w:b/>
          <w:bCs w:val="0"/>
        </w:rPr>
      </w:pPr>
      <w:bookmarkStart w:id="18" w:name="_Toc183470301"/>
      <w:r w:rsidRPr="002E2199">
        <w:rPr>
          <w:b/>
          <w:bCs w:val="0"/>
        </w:rPr>
        <w:t>5 Conclusion</w:t>
      </w:r>
      <w:bookmarkEnd w:id="18"/>
    </w:p>
    <w:p w14:paraId="77ABA360" w14:textId="77777777" w:rsidR="00A664A7" w:rsidRPr="00A664A7" w:rsidRDefault="00A664A7" w:rsidP="00A664A7"/>
    <w:p w14:paraId="067ABD5E" w14:textId="77777777" w:rsidR="00A664A7" w:rsidRPr="00A664A7" w:rsidRDefault="00A664A7" w:rsidP="00A664A7">
      <w:pPr>
        <w:rPr>
          <w:rFonts w:ascii="IBM Plex Sans" w:hAnsi="IBM Plex Sans"/>
          <w:lang w:val="en-IN"/>
        </w:rPr>
      </w:pPr>
      <w:r w:rsidRPr="00A664A7">
        <w:rPr>
          <w:rFonts w:ascii="IBM Plex Sans" w:hAnsi="IBM Plex Sans"/>
          <w:lang w:val="en-IN"/>
        </w:rPr>
        <w:t xml:space="preserve">This document showcases the integration of </w:t>
      </w:r>
      <w:r w:rsidRPr="00A664A7">
        <w:rPr>
          <w:rFonts w:ascii="IBM Plex Sans" w:hAnsi="IBM Plex Sans"/>
          <w:b/>
          <w:bCs/>
          <w:lang w:val="en-IN"/>
        </w:rPr>
        <w:t>Watsonx.data</w:t>
      </w:r>
      <w:r w:rsidRPr="00A664A7">
        <w:rPr>
          <w:rFonts w:ascii="IBM Plex Sans" w:hAnsi="IBM Plex Sans"/>
          <w:lang w:val="en-IN"/>
        </w:rPr>
        <w:t xml:space="preserve">, </w:t>
      </w:r>
      <w:r w:rsidRPr="00A664A7">
        <w:rPr>
          <w:rFonts w:ascii="IBM Plex Sans" w:hAnsi="IBM Plex Sans"/>
          <w:b/>
          <w:bCs/>
          <w:lang w:val="en-IN"/>
        </w:rPr>
        <w:t>Spark</w:t>
      </w:r>
      <w:r w:rsidRPr="00A664A7">
        <w:rPr>
          <w:rFonts w:ascii="IBM Plex Sans" w:hAnsi="IBM Plex Sans"/>
          <w:lang w:val="en-IN"/>
        </w:rPr>
        <w:t xml:space="preserve">, and </w:t>
      </w:r>
      <w:r w:rsidRPr="00A664A7">
        <w:rPr>
          <w:rFonts w:ascii="IBM Plex Sans" w:hAnsi="IBM Plex Sans"/>
          <w:b/>
          <w:bCs/>
          <w:lang w:val="en-IN"/>
        </w:rPr>
        <w:t>Cognos Analytics</w:t>
      </w:r>
      <w:r w:rsidRPr="00A664A7">
        <w:rPr>
          <w:rFonts w:ascii="IBM Plex Sans" w:hAnsi="IBM Plex Sans"/>
          <w:lang w:val="en-IN"/>
        </w:rPr>
        <w:t xml:space="preserve"> to enable advanced data analytics and reporting. Using the </w:t>
      </w:r>
      <w:r w:rsidRPr="00A664A7">
        <w:rPr>
          <w:rFonts w:ascii="IBM Plex Sans" w:hAnsi="IBM Plex Sans"/>
          <w:b/>
          <w:bCs/>
          <w:lang w:val="en-IN"/>
        </w:rPr>
        <w:t>Medallion Architecture</w:t>
      </w:r>
      <w:r w:rsidRPr="00A664A7">
        <w:rPr>
          <w:rFonts w:ascii="IBM Plex Sans" w:hAnsi="IBM Plex Sans"/>
          <w:lang w:val="en-IN"/>
        </w:rPr>
        <w:t xml:space="preserve"> with </w:t>
      </w:r>
      <w:r w:rsidRPr="00A664A7">
        <w:rPr>
          <w:rFonts w:ascii="IBM Plex Sans" w:hAnsi="IBM Plex Sans"/>
          <w:lang w:val="en-IN"/>
        </w:rPr>
        <w:lastRenderedPageBreak/>
        <w:t xml:space="preserve">open table formats like </w:t>
      </w:r>
      <w:r w:rsidRPr="00A664A7">
        <w:rPr>
          <w:rFonts w:ascii="IBM Plex Sans" w:hAnsi="IBM Plex Sans"/>
          <w:b/>
          <w:bCs/>
          <w:lang w:val="en-IN"/>
        </w:rPr>
        <w:t>Delta Lake</w:t>
      </w:r>
      <w:r w:rsidRPr="00A664A7">
        <w:rPr>
          <w:rFonts w:ascii="IBM Plex Sans" w:hAnsi="IBM Plex Sans"/>
          <w:lang w:val="en-IN"/>
        </w:rPr>
        <w:t xml:space="preserve"> and </w:t>
      </w:r>
      <w:r w:rsidRPr="00A664A7">
        <w:rPr>
          <w:rFonts w:ascii="IBM Plex Sans" w:hAnsi="IBM Plex Sans"/>
          <w:b/>
          <w:bCs/>
          <w:lang w:val="en-IN"/>
        </w:rPr>
        <w:t>Iceberg</w:t>
      </w:r>
      <w:r w:rsidRPr="00A664A7">
        <w:rPr>
          <w:rFonts w:ascii="IBM Plex Sans" w:hAnsi="IBM Plex Sans"/>
          <w:lang w:val="en-IN"/>
        </w:rPr>
        <w:t xml:space="preserve">, data is processed through the </w:t>
      </w:r>
      <w:r w:rsidRPr="00A664A7">
        <w:rPr>
          <w:rFonts w:ascii="IBM Plex Sans" w:hAnsi="IBM Plex Sans"/>
          <w:b/>
          <w:bCs/>
          <w:lang w:val="en-IN"/>
        </w:rPr>
        <w:t>Bronze</w:t>
      </w:r>
      <w:r w:rsidRPr="00A664A7">
        <w:rPr>
          <w:rFonts w:ascii="IBM Plex Sans" w:hAnsi="IBM Plex Sans"/>
          <w:lang w:val="en-IN"/>
        </w:rPr>
        <w:t xml:space="preserve">, </w:t>
      </w:r>
      <w:r w:rsidRPr="00A664A7">
        <w:rPr>
          <w:rFonts w:ascii="IBM Plex Sans" w:hAnsi="IBM Plex Sans"/>
          <w:b/>
          <w:bCs/>
          <w:lang w:val="en-IN"/>
        </w:rPr>
        <w:t>Silver</w:t>
      </w:r>
      <w:r w:rsidRPr="00A664A7">
        <w:rPr>
          <w:rFonts w:ascii="IBM Plex Sans" w:hAnsi="IBM Plex Sans"/>
          <w:lang w:val="en-IN"/>
        </w:rPr>
        <w:t xml:space="preserve">, and </w:t>
      </w:r>
      <w:r w:rsidRPr="00A664A7">
        <w:rPr>
          <w:rFonts w:ascii="IBM Plex Sans" w:hAnsi="IBM Plex Sans"/>
          <w:b/>
          <w:bCs/>
          <w:lang w:val="en-IN"/>
        </w:rPr>
        <w:t>Gold</w:t>
      </w:r>
      <w:r w:rsidRPr="00A664A7">
        <w:rPr>
          <w:rFonts w:ascii="IBM Plex Sans" w:hAnsi="IBM Plex Sans"/>
          <w:lang w:val="en-IN"/>
        </w:rPr>
        <w:t xml:space="preserve"> layers for clean, enriched insights.</w:t>
      </w:r>
    </w:p>
    <w:p w14:paraId="2DBF7386" w14:textId="77777777" w:rsidR="00A664A7" w:rsidRPr="00A664A7" w:rsidRDefault="00A664A7" w:rsidP="00A664A7">
      <w:pPr>
        <w:rPr>
          <w:rFonts w:ascii="IBM Plex Sans" w:hAnsi="IBM Plex Sans"/>
          <w:lang w:val="en-IN"/>
        </w:rPr>
      </w:pPr>
      <w:r w:rsidRPr="00A664A7">
        <w:rPr>
          <w:rFonts w:ascii="IBM Plex Sans" w:hAnsi="IBM Plex Sans"/>
          <w:lang w:val="en-IN"/>
        </w:rPr>
        <w:t xml:space="preserve">Connecting </w:t>
      </w:r>
      <w:r w:rsidRPr="00A664A7">
        <w:rPr>
          <w:rFonts w:ascii="IBM Plex Sans" w:hAnsi="IBM Plex Sans"/>
          <w:b/>
          <w:bCs/>
          <w:lang w:val="en-IN"/>
        </w:rPr>
        <w:t>Watsonx.data</w:t>
      </w:r>
      <w:r w:rsidRPr="00A664A7">
        <w:rPr>
          <w:rFonts w:ascii="IBM Plex Sans" w:hAnsi="IBM Plex Sans"/>
          <w:lang w:val="en-IN"/>
        </w:rPr>
        <w:t xml:space="preserve"> to </w:t>
      </w:r>
      <w:r w:rsidRPr="00A664A7">
        <w:rPr>
          <w:rFonts w:ascii="IBM Plex Sans" w:hAnsi="IBM Plex Sans"/>
          <w:b/>
          <w:bCs/>
          <w:lang w:val="en-IN"/>
        </w:rPr>
        <w:t>Cognos Analytics</w:t>
      </w:r>
      <w:r w:rsidRPr="00A664A7">
        <w:rPr>
          <w:rFonts w:ascii="IBM Plex Sans" w:hAnsi="IBM Plex Sans"/>
          <w:lang w:val="en-IN"/>
        </w:rPr>
        <w:t xml:space="preserve"> allows users to build dynamic dashboards, such as product sales trends, using data from the </w:t>
      </w:r>
      <w:r w:rsidRPr="00A664A7">
        <w:rPr>
          <w:rFonts w:ascii="IBM Plex Sans" w:hAnsi="IBM Plex Sans"/>
          <w:b/>
          <w:bCs/>
          <w:lang w:val="en-IN"/>
        </w:rPr>
        <w:t>Gold layer</w:t>
      </w:r>
      <w:r w:rsidRPr="00A664A7">
        <w:rPr>
          <w:rFonts w:ascii="IBM Plex Sans" w:hAnsi="IBM Plex Sans"/>
          <w:lang w:val="en-IN"/>
        </w:rPr>
        <w:t>. Spark ensures scalable data processing, and open table formats provide flexibility for future growth.</w:t>
      </w:r>
    </w:p>
    <w:p w14:paraId="24BFB43F" w14:textId="77777777" w:rsidR="00A664A7" w:rsidRPr="00A664A7" w:rsidRDefault="00A664A7" w:rsidP="00A664A7">
      <w:pPr>
        <w:rPr>
          <w:rFonts w:ascii="IBM Plex Sans" w:hAnsi="IBM Plex Sans"/>
          <w:lang w:val="en-IN"/>
        </w:rPr>
      </w:pPr>
      <w:r w:rsidRPr="00A664A7">
        <w:rPr>
          <w:rFonts w:ascii="IBM Plex Sans" w:hAnsi="IBM Plex Sans"/>
          <w:lang w:val="en-IN"/>
        </w:rPr>
        <w:t>Overall, this setup empowers businesses to leverage data efficiently, driving better decision-making and personalized customer experiences.</w:t>
      </w:r>
    </w:p>
    <w:p w14:paraId="36786312" w14:textId="77777777" w:rsidR="00E352E4" w:rsidRPr="00A6208A" w:rsidRDefault="00E352E4">
      <w:pPr>
        <w:rPr>
          <w:rFonts w:ascii="IBM Plex Sans" w:hAnsi="IBM Plex Sans"/>
        </w:rPr>
      </w:pPr>
    </w:p>
    <w:sectPr w:rsidR="00E352E4" w:rsidRPr="00A6208A" w:rsidSect="00B75AFD">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D36CAB"/>
    <w:multiLevelType w:val="multilevel"/>
    <w:tmpl w:val="7A4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957F9"/>
    <w:multiLevelType w:val="multilevel"/>
    <w:tmpl w:val="873C7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86F83"/>
    <w:multiLevelType w:val="multilevel"/>
    <w:tmpl w:val="7A4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868C0"/>
    <w:multiLevelType w:val="hybridMultilevel"/>
    <w:tmpl w:val="A4EEE7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C4435E"/>
    <w:multiLevelType w:val="multilevel"/>
    <w:tmpl w:val="6EF4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E7604"/>
    <w:multiLevelType w:val="multilevel"/>
    <w:tmpl w:val="86A6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E50BD"/>
    <w:multiLevelType w:val="multilevel"/>
    <w:tmpl w:val="7A4AF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256BDC"/>
    <w:multiLevelType w:val="multilevel"/>
    <w:tmpl w:val="5FDAA0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825CB3"/>
    <w:multiLevelType w:val="hybridMultilevel"/>
    <w:tmpl w:val="F1B0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967FDB"/>
    <w:multiLevelType w:val="multilevel"/>
    <w:tmpl w:val="AE6A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7F69C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89479103">
    <w:abstractNumId w:val="8"/>
  </w:num>
  <w:num w:numId="2" w16cid:durableId="708536103">
    <w:abstractNumId w:val="6"/>
  </w:num>
  <w:num w:numId="3" w16cid:durableId="797384093">
    <w:abstractNumId w:val="5"/>
  </w:num>
  <w:num w:numId="4" w16cid:durableId="1173226709">
    <w:abstractNumId w:val="4"/>
  </w:num>
  <w:num w:numId="5" w16cid:durableId="1809396732">
    <w:abstractNumId w:val="7"/>
  </w:num>
  <w:num w:numId="6" w16cid:durableId="919220209">
    <w:abstractNumId w:val="3"/>
  </w:num>
  <w:num w:numId="7" w16cid:durableId="1887645509">
    <w:abstractNumId w:val="2"/>
  </w:num>
  <w:num w:numId="8" w16cid:durableId="606624963">
    <w:abstractNumId w:val="1"/>
  </w:num>
  <w:num w:numId="9" w16cid:durableId="1330988301">
    <w:abstractNumId w:val="0"/>
  </w:num>
  <w:num w:numId="10" w16cid:durableId="680812182">
    <w:abstractNumId w:val="16"/>
  </w:num>
  <w:num w:numId="11" w16cid:durableId="2078091625">
    <w:abstractNumId w:val="17"/>
  </w:num>
  <w:num w:numId="12" w16cid:durableId="32318183">
    <w:abstractNumId w:val="9"/>
  </w:num>
  <w:num w:numId="13" w16cid:durableId="127166885">
    <w:abstractNumId w:val="11"/>
  </w:num>
  <w:num w:numId="14" w16cid:durableId="1767075989">
    <w:abstractNumId w:val="15"/>
  </w:num>
  <w:num w:numId="15" w16cid:durableId="1569992728">
    <w:abstractNumId w:val="10"/>
  </w:num>
  <w:num w:numId="16" w16cid:durableId="1830053385">
    <w:abstractNumId w:val="14"/>
  </w:num>
  <w:num w:numId="17" w16cid:durableId="1381905043">
    <w:abstractNumId w:val="13"/>
  </w:num>
  <w:num w:numId="18" w16cid:durableId="655064333">
    <w:abstractNumId w:val="18"/>
  </w:num>
  <w:num w:numId="19" w16cid:durableId="977954280">
    <w:abstractNumId w:val="12"/>
  </w:num>
  <w:num w:numId="20" w16cid:durableId="5239776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16C"/>
    <w:rsid w:val="00034616"/>
    <w:rsid w:val="0006063C"/>
    <w:rsid w:val="00061087"/>
    <w:rsid w:val="00071E1D"/>
    <w:rsid w:val="00093AF0"/>
    <w:rsid w:val="000B5FE6"/>
    <w:rsid w:val="000D093A"/>
    <w:rsid w:val="000E211F"/>
    <w:rsid w:val="000F546A"/>
    <w:rsid w:val="00130549"/>
    <w:rsid w:val="00132D04"/>
    <w:rsid w:val="0015074B"/>
    <w:rsid w:val="00156B92"/>
    <w:rsid w:val="00156BE3"/>
    <w:rsid w:val="00170AA3"/>
    <w:rsid w:val="00185BCC"/>
    <w:rsid w:val="001A67E9"/>
    <w:rsid w:val="001E6592"/>
    <w:rsid w:val="00264358"/>
    <w:rsid w:val="00265ADB"/>
    <w:rsid w:val="002718DE"/>
    <w:rsid w:val="00275BD8"/>
    <w:rsid w:val="0029639D"/>
    <w:rsid w:val="002A0C85"/>
    <w:rsid w:val="002A22FC"/>
    <w:rsid w:val="002A4E61"/>
    <w:rsid w:val="002B07BA"/>
    <w:rsid w:val="002D3662"/>
    <w:rsid w:val="002D6407"/>
    <w:rsid w:val="002E2199"/>
    <w:rsid w:val="002E45CC"/>
    <w:rsid w:val="00312127"/>
    <w:rsid w:val="00326F90"/>
    <w:rsid w:val="00381A8E"/>
    <w:rsid w:val="003A3D0F"/>
    <w:rsid w:val="003C728B"/>
    <w:rsid w:val="003E3BCB"/>
    <w:rsid w:val="003F22AB"/>
    <w:rsid w:val="003F2B25"/>
    <w:rsid w:val="004121CB"/>
    <w:rsid w:val="00416FEB"/>
    <w:rsid w:val="00421464"/>
    <w:rsid w:val="0042289E"/>
    <w:rsid w:val="00483B9A"/>
    <w:rsid w:val="00487FCE"/>
    <w:rsid w:val="00496072"/>
    <w:rsid w:val="004A5BF8"/>
    <w:rsid w:val="004B5518"/>
    <w:rsid w:val="004C5DA9"/>
    <w:rsid w:val="004E1718"/>
    <w:rsid w:val="004E27B0"/>
    <w:rsid w:val="00503C82"/>
    <w:rsid w:val="005167D9"/>
    <w:rsid w:val="00582A58"/>
    <w:rsid w:val="005C513D"/>
    <w:rsid w:val="0061017D"/>
    <w:rsid w:val="006134D9"/>
    <w:rsid w:val="0062310D"/>
    <w:rsid w:val="006537D4"/>
    <w:rsid w:val="006708D9"/>
    <w:rsid w:val="006A3021"/>
    <w:rsid w:val="006E6DB2"/>
    <w:rsid w:val="0073415F"/>
    <w:rsid w:val="007822B0"/>
    <w:rsid w:val="00791E8E"/>
    <w:rsid w:val="007C0380"/>
    <w:rsid w:val="007E1473"/>
    <w:rsid w:val="007F7A0A"/>
    <w:rsid w:val="00834086"/>
    <w:rsid w:val="00835E81"/>
    <w:rsid w:val="00844894"/>
    <w:rsid w:val="00854FFB"/>
    <w:rsid w:val="00884F9D"/>
    <w:rsid w:val="008A303A"/>
    <w:rsid w:val="008C5B2E"/>
    <w:rsid w:val="008D6160"/>
    <w:rsid w:val="00907234"/>
    <w:rsid w:val="00922A24"/>
    <w:rsid w:val="00927ADC"/>
    <w:rsid w:val="0095427D"/>
    <w:rsid w:val="00963FD8"/>
    <w:rsid w:val="009713C8"/>
    <w:rsid w:val="009D18F2"/>
    <w:rsid w:val="009F7470"/>
    <w:rsid w:val="00A12154"/>
    <w:rsid w:val="00A50E6F"/>
    <w:rsid w:val="00A6208A"/>
    <w:rsid w:val="00A664A7"/>
    <w:rsid w:val="00A70475"/>
    <w:rsid w:val="00A76AF9"/>
    <w:rsid w:val="00A93678"/>
    <w:rsid w:val="00AA1D8D"/>
    <w:rsid w:val="00AC164A"/>
    <w:rsid w:val="00AF670D"/>
    <w:rsid w:val="00B23322"/>
    <w:rsid w:val="00B47730"/>
    <w:rsid w:val="00B75AFD"/>
    <w:rsid w:val="00BA3EE9"/>
    <w:rsid w:val="00BB01CD"/>
    <w:rsid w:val="00BE624D"/>
    <w:rsid w:val="00C10BD2"/>
    <w:rsid w:val="00C45BE3"/>
    <w:rsid w:val="00C57001"/>
    <w:rsid w:val="00C800FA"/>
    <w:rsid w:val="00CB0664"/>
    <w:rsid w:val="00CB0E75"/>
    <w:rsid w:val="00CE218E"/>
    <w:rsid w:val="00D038E2"/>
    <w:rsid w:val="00D2718B"/>
    <w:rsid w:val="00D70927"/>
    <w:rsid w:val="00E352E4"/>
    <w:rsid w:val="00EA1E86"/>
    <w:rsid w:val="00EC1A09"/>
    <w:rsid w:val="00EE1434"/>
    <w:rsid w:val="00F03234"/>
    <w:rsid w:val="00F1308C"/>
    <w:rsid w:val="00F325C3"/>
    <w:rsid w:val="00F4487E"/>
    <w:rsid w:val="00F65895"/>
    <w:rsid w:val="00F92A67"/>
    <w:rsid w:val="00FB6F6F"/>
    <w:rsid w:val="00FC59C5"/>
    <w:rsid w:val="00FC693F"/>
    <w:rsid w:val="00FE6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C33062"/>
  <w14:defaultImageDpi w14:val="300"/>
  <w15:docId w15:val="{591E4AED-0ACF-5E4F-8EF1-B5AFE2C7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08A"/>
    <w:pPr>
      <w:spacing w:after="180" w:line="274" w:lineRule="auto"/>
    </w:pPr>
    <w:rPr>
      <w:sz w:val="21"/>
    </w:rPr>
  </w:style>
  <w:style w:type="paragraph" w:styleId="Heading1">
    <w:name w:val="heading 1"/>
    <w:basedOn w:val="Normal"/>
    <w:next w:val="Normal"/>
    <w:link w:val="Heading1Char"/>
    <w:uiPriority w:val="9"/>
    <w:qFormat/>
    <w:rsid w:val="00A6208A"/>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A6208A"/>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A6208A"/>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A6208A"/>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6208A"/>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6208A"/>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A6208A"/>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6208A"/>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6208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A6208A"/>
    <w:pPr>
      <w:spacing w:after="0" w:line="240" w:lineRule="auto"/>
    </w:pPr>
  </w:style>
  <w:style w:type="character" w:customStyle="1" w:styleId="Heading1Char">
    <w:name w:val="Heading 1 Char"/>
    <w:basedOn w:val="DefaultParagraphFont"/>
    <w:link w:val="Heading1"/>
    <w:uiPriority w:val="9"/>
    <w:rsid w:val="00A6208A"/>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A6208A"/>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A6208A"/>
    <w:rPr>
      <w:rFonts w:asciiTheme="majorHAnsi" w:eastAsiaTheme="majorEastAsia" w:hAnsiTheme="majorHAnsi" w:cstheme="majorBidi"/>
      <w:bCs/>
      <w:color w:val="1F497D" w:themeColor="text2"/>
      <w:spacing w:val="14"/>
      <w:sz w:val="24"/>
    </w:rPr>
  </w:style>
  <w:style w:type="paragraph" w:styleId="Title">
    <w:name w:val="Title"/>
    <w:basedOn w:val="Normal"/>
    <w:next w:val="Normal"/>
    <w:link w:val="TitleChar"/>
    <w:uiPriority w:val="10"/>
    <w:qFormat/>
    <w:rsid w:val="00A6208A"/>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A6208A"/>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A6208A"/>
    <w:pPr>
      <w:numPr>
        <w:ilvl w:val="1"/>
      </w:numPr>
    </w:pPr>
    <w:rPr>
      <w:rFonts w:eastAsiaTheme="majorEastAsia" w:cstheme="majorBidi"/>
      <w:iCs/>
      <w:color w:val="1F497D" w:themeColor="text2"/>
      <w:sz w:val="40"/>
      <w:szCs w:val="24"/>
    </w:rPr>
  </w:style>
  <w:style w:type="character" w:customStyle="1" w:styleId="SubtitleChar">
    <w:name w:val="Subtitle Char"/>
    <w:basedOn w:val="DefaultParagraphFont"/>
    <w:link w:val="Subtitle"/>
    <w:uiPriority w:val="11"/>
    <w:rsid w:val="00A6208A"/>
    <w:rPr>
      <w:rFonts w:eastAsiaTheme="majorEastAsia" w:cstheme="majorBidi"/>
      <w:iCs/>
      <w:color w:val="1F497D" w:themeColor="text2"/>
      <w:sz w:val="40"/>
      <w:szCs w:val="24"/>
    </w:rPr>
  </w:style>
  <w:style w:type="paragraph" w:styleId="ListParagraph">
    <w:name w:val="List Paragraph"/>
    <w:basedOn w:val="Normal"/>
    <w:uiPriority w:val="34"/>
    <w:qFormat/>
    <w:rsid w:val="00A6208A"/>
    <w:pPr>
      <w:spacing w:line="240" w:lineRule="auto"/>
      <w:ind w:left="720" w:hanging="288"/>
      <w:contextualSpacing/>
    </w:pPr>
    <w:rPr>
      <w:color w:val="1F497D" w:themeColor="text2"/>
    </w:r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A6208A"/>
    <w:pPr>
      <w:spacing w:after="0" w:line="360" w:lineRule="auto"/>
      <w:jc w:val="center"/>
    </w:pPr>
    <w:rPr>
      <w:rFonts w:eastAsiaTheme="minorEastAsia"/>
      <w:b/>
      <w:i/>
      <w:iCs/>
      <w:color w:val="4F81BD" w:themeColor="accent1"/>
      <w:sz w:val="26"/>
    </w:rPr>
  </w:style>
  <w:style w:type="character" w:customStyle="1" w:styleId="QuoteChar">
    <w:name w:val="Quote Char"/>
    <w:basedOn w:val="DefaultParagraphFont"/>
    <w:link w:val="Quote"/>
    <w:uiPriority w:val="29"/>
    <w:rsid w:val="00A6208A"/>
    <w:rPr>
      <w:rFonts w:eastAsiaTheme="minorEastAsia"/>
      <w:b/>
      <w:i/>
      <w:iCs/>
      <w:color w:val="4F81BD" w:themeColor="accent1"/>
      <w:sz w:val="26"/>
    </w:rPr>
  </w:style>
  <w:style w:type="character" w:customStyle="1" w:styleId="Heading4Char">
    <w:name w:val="Heading 4 Char"/>
    <w:basedOn w:val="DefaultParagraphFont"/>
    <w:link w:val="Heading4"/>
    <w:uiPriority w:val="9"/>
    <w:rsid w:val="00A6208A"/>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6208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6208A"/>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A6208A"/>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6208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6208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6208A"/>
    <w:pPr>
      <w:spacing w:line="240" w:lineRule="auto"/>
    </w:pPr>
    <w:rPr>
      <w:rFonts w:asciiTheme="majorHAnsi" w:eastAsiaTheme="minorEastAsia" w:hAnsiTheme="majorHAnsi"/>
      <w:bCs/>
      <w:smallCaps/>
      <w:color w:val="1F497D" w:themeColor="text2"/>
      <w:spacing w:val="6"/>
      <w:sz w:val="22"/>
      <w:szCs w:val="18"/>
    </w:rPr>
  </w:style>
  <w:style w:type="character" w:styleId="Strong">
    <w:name w:val="Strong"/>
    <w:basedOn w:val="DefaultParagraphFont"/>
    <w:uiPriority w:val="22"/>
    <w:qFormat/>
    <w:rsid w:val="00A6208A"/>
    <w:rPr>
      <w:b w:val="0"/>
      <w:bCs/>
      <w:i/>
      <w:color w:val="1F497D" w:themeColor="text2"/>
    </w:rPr>
  </w:style>
  <w:style w:type="character" w:styleId="Emphasis">
    <w:name w:val="Emphasis"/>
    <w:basedOn w:val="DefaultParagraphFont"/>
    <w:uiPriority w:val="20"/>
    <w:qFormat/>
    <w:rsid w:val="00A6208A"/>
    <w:rPr>
      <w:b/>
      <w:i/>
      <w:iCs/>
    </w:rPr>
  </w:style>
  <w:style w:type="paragraph" w:styleId="IntenseQuote">
    <w:name w:val="Intense Quote"/>
    <w:basedOn w:val="Normal"/>
    <w:next w:val="Normal"/>
    <w:link w:val="IntenseQuoteChar"/>
    <w:uiPriority w:val="30"/>
    <w:qFormat/>
    <w:rsid w:val="00A6208A"/>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6208A"/>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A6208A"/>
    <w:rPr>
      <w:i/>
      <w:iCs/>
      <w:color w:val="000000"/>
    </w:rPr>
  </w:style>
  <w:style w:type="character" w:styleId="IntenseEmphasis">
    <w:name w:val="Intense Emphasis"/>
    <w:basedOn w:val="DefaultParagraphFont"/>
    <w:uiPriority w:val="21"/>
    <w:qFormat/>
    <w:rsid w:val="00A6208A"/>
    <w:rPr>
      <w:b/>
      <w:bCs/>
      <w:i/>
      <w:iCs/>
      <w:color w:val="4F81BD" w:themeColor="accent1"/>
    </w:rPr>
  </w:style>
  <w:style w:type="character" w:styleId="SubtleReference">
    <w:name w:val="Subtle Reference"/>
    <w:basedOn w:val="DefaultParagraphFont"/>
    <w:uiPriority w:val="31"/>
    <w:qFormat/>
    <w:rsid w:val="00A6208A"/>
    <w:rPr>
      <w:smallCaps/>
      <w:color w:val="000000"/>
      <w:u w:val="single"/>
    </w:rPr>
  </w:style>
  <w:style w:type="character" w:styleId="IntenseReference">
    <w:name w:val="Intense Reference"/>
    <w:basedOn w:val="DefaultParagraphFont"/>
    <w:uiPriority w:val="32"/>
    <w:qFormat/>
    <w:rsid w:val="00A6208A"/>
    <w:rPr>
      <w:b w:val="0"/>
      <w:bCs/>
      <w:smallCaps/>
      <w:color w:val="4F81BD" w:themeColor="accent1"/>
      <w:spacing w:val="5"/>
      <w:u w:val="single"/>
    </w:rPr>
  </w:style>
  <w:style w:type="character" w:styleId="BookTitle">
    <w:name w:val="Book Title"/>
    <w:basedOn w:val="DefaultParagraphFont"/>
    <w:uiPriority w:val="33"/>
    <w:qFormat/>
    <w:rsid w:val="00A6208A"/>
    <w:rPr>
      <w:b/>
      <w:bCs/>
      <w:caps/>
      <w:smallCaps w:val="0"/>
      <w:color w:val="1F497D" w:themeColor="text2"/>
      <w:spacing w:val="10"/>
    </w:rPr>
  </w:style>
  <w:style w:type="paragraph" w:styleId="TOCHeading">
    <w:name w:val="TOC Heading"/>
    <w:basedOn w:val="Heading1"/>
    <w:next w:val="Normal"/>
    <w:uiPriority w:val="39"/>
    <w:unhideWhenUsed/>
    <w:qFormat/>
    <w:rsid w:val="00A6208A"/>
    <w:pPr>
      <w:spacing w:before="480" w:line="264" w:lineRule="auto"/>
      <w:outlineLvl w:val="9"/>
    </w:pPr>
    <w:rPr>
      <w:b/>
    </w:r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A6208A"/>
  </w:style>
  <w:style w:type="paragraph" w:styleId="TOC1">
    <w:name w:val="toc 1"/>
    <w:basedOn w:val="Normal"/>
    <w:next w:val="Normal"/>
    <w:autoRedefine/>
    <w:uiPriority w:val="39"/>
    <w:unhideWhenUsed/>
    <w:rsid w:val="00FB6F6F"/>
    <w:pPr>
      <w:spacing w:before="120" w:after="0"/>
    </w:pPr>
    <w:rPr>
      <w:b/>
      <w:bCs/>
      <w:i/>
      <w:iCs/>
      <w:sz w:val="24"/>
      <w:szCs w:val="24"/>
    </w:rPr>
  </w:style>
  <w:style w:type="paragraph" w:styleId="TOC2">
    <w:name w:val="toc 2"/>
    <w:basedOn w:val="Normal"/>
    <w:next w:val="Normal"/>
    <w:autoRedefine/>
    <w:uiPriority w:val="39"/>
    <w:unhideWhenUsed/>
    <w:rsid w:val="00FB6F6F"/>
    <w:pPr>
      <w:spacing w:before="120" w:after="0"/>
      <w:ind w:left="220"/>
    </w:pPr>
    <w:rPr>
      <w:b/>
      <w:bCs/>
    </w:rPr>
  </w:style>
  <w:style w:type="character" w:styleId="Hyperlink">
    <w:name w:val="Hyperlink"/>
    <w:basedOn w:val="DefaultParagraphFont"/>
    <w:uiPriority w:val="99"/>
    <w:unhideWhenUsed/>
    <w:rsid w:val="00FB6F6F"/>
    <w:rPr>
      <w:color w:val="0000FF" w:themeColor="hyperlink"/>
      <w:u w:val="single"/>
    </w:rPr>
  </w:style>
  <w:style w:type="paragraph" w:styleId="TOC3">
    <w:name w:val="toc 3"/>
    <w:basedOn w:val="Normal"/>
    <w:next w:val="Normal"/>
    <w:autoRedefine/>
    <w:uiPriority w:val="39"/>
    <w:unhideWhenUsed/>
    <w:rsid w:val="00FB6F6F"/>
    <w:pPr>
      <w:spacing w:after="0"/>
      <w:ind w:left="440"/>
    </w:pPr>
    <w:rPr>
      <w:sz w:val="20"/>
      <w:szCs w:val="20"/>
    </w:rPr>
  </w:style>
  <w:style w:type="paragraph" w:styleId="TOC4">
    <w:name w:val="toc 4"/>
    <w:basedOn w:val="Normal"/>
    <w:next w:val="Normal"/>
    <w:autoRedefine/>
    <w:uiPriority w:val="39"/>
    <w:semiHidden/>
    <w:unhideWhenUsed/>
    <w:rsid w:val="00FB6F6F"/>
    <w:pPr>
      <w:spacing w:after="0"/>
      <w:ind w:left="660"/>
    </w:pPr>
    <w:rPr>
      <w:sz w:val="20"/>
      <w:szCs w:val="20"/>
    </w:rPr>
  </w:style>
  <w:style w:type="paragraph" w:styleId="TOC5">
    <w:name w:val="toc 5"/>
    <w:basedOn w:val="Normal"/>
    <w:next w:val="Normal"/>
    <w:autoRedefine/>
    <w:uiPriority w:val="39"/>
    <w:semiHidden/>
    <w:unhideWhenUsed/>
    <w:rsid w:val="00FB6F6F"/>
    <w:pPr>
      <w:spacing w:after="0"/>
      <w:ind w:left="880"/>
    </w:pPr>
    <w:rPr>
      <w:sz w:val="20"/>
      <w:szCs w:val="20"/>
    </w:rPr>
  </w:style>
  <w:style w:type="paragraph" w:styleId="TOC6">
    <w:name w:val="toc 6"/>
    <w:basedOn w:val="Normal"/>
    <w:next w:val="Normal"/>
    <w:autoRedefine/>
    <w:uiPriority w:val="39"/>
    <w:semiHidden/>
    <w:unhideWhenUsed/>
    <w:rsid w:val="00FB6F6F"/>
    <w:pPr>
      <w:spacing w:after="0"/>
      <w:ind w:left="1100"/>
    </w:pPr>
    <w:rPr>
      <w:sz w:val="20"/>
      <w:szCs w:val="20"/>
    </w:rPr>
  </w:style>
  <w:style w:type="paragraph" w:styleId="TOC7">
    <w:name w:val="toc 7"/>
    <w:basedOn w:val="Normal"/>
    <w:next w:val="Normal"/>
    <w:autoRedefine/>
    <w:uiPriority w:val="39"/>
    <w:semiHidden/>
    <w:unhideWhenUsed/>
    <w:rsid w:val="00FB6F6F"/>
    <w:pPr>
      <w:spacing w:after="0"/>
      <w:ind w:left="1320"/>
    </w:pPr>
    <w:rPr>
      <w:sz w:val="20"/>
      <w:szCs w:val="20"/>
    </w:rPr>
  </w:style>
  <w:style w:type="paragraph" w:styleId="TOC8">
    <w:name w:val="toc 8"/>
    <w:basedOn w:val="Normal"/>
    <w:next w:val="Normal"/>
    <w:autoRedefine/>
    <w:uiPriority w:val="39"/>
    <w:semiHidden/>
    <w:unhideWhenUsed/>
    <w:rsid w:val="00FB6F6F"/>
    <w:pPr>
      <w:spacing w:after="0"/>
      <w:ind w:left="1540"/>
    </w:pPr>
    <w:rPr>
      <w:sz w:val="20"/>
      <w:szCs w:val="20"/>
    </w:rPr>
  </w:style>
  <w:style w:type="paragraph" w:styleId="TOC9">
    <w:name w:val="toc 9"/>
    <w:basedOn w:val="Normal"/>
    <w:next w:val="Normal"/>
    <w:autoRedefine/>
    <w:uiPriority w:val="39"/>
    <w:semiHidden/>
    <w:unhideWhenUsed/>
    <w:rsid w:val="00FB6F6F"/>
    <w:pPr>
      <w:spacing w:after="0"/>
      <w:ind w:left="1760"/>
    </w:pPr>
    <w:rPr>
      <w:sz w:val="20"/>
      <w:szCs w:val="20"/>
    </w:rPr>
  </w:style>
  <w:style w:type="paragraph" w:customStyle="1" w:styleId="PersonalName">
    <w:name w:val="Personal Name"/>
    <w:basedOn w:val="Title"/>
    <w:qFormat/>
    <w:rsid w:val="00A6208A"/>
    <w:rPr>
      <w:b/>
      <w:caps/>
      <w:color w:val="000000"/>
      <w:sz w:val="28"/>
      <w:szCs w:val="28"/>
    </w:rPr>
  </w:style>
  <w:style w:type="paragraph" w:styleId="NormalWeb">
    <w:name w:val="Normal (Web)"/>
    <w:basedOn w:val="Normal"/>
    <w:uiPriority w:val="99"/>
    <w:semiHidden/>
    <w:unhideWhenUsed/>
    <w:rsid w:val="008C5B2E"/>
    <w:rPr>
      <w:rFonts w:ascii="Times New Roman" w:hAnsi="Times New Roman" w:cs="Times New Roman"/>
      <w:sz w:val="24"/>
      <w:szCs w:val="24"/>
    </w:rPr>
  </w:style>
  <w:style w:type="character" w:styleId="HTMLCode">
    <w:name w:val="HTML Code"/>
    <w:basedOn w:val="DefaultParagraphFont"/>
    <w:uiPriority w:val="99"/>
    <w:semiHidden/>
    <w:unhideWhenUsed/>
    <w:rsid w:val="003F22A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56B92"/>
    <w:rPr>
      <w:color w:val="605E5C"/>
      <w:shd w:val="clear" w:color="auto" w:fill="E1DFDD"/>
    </w:rPr>
  </w:style>
  <w:style w:type="character" w:styleId="FollowedHyperlink">
    <w:name w:val="FollowedHyperlink"/>
    <w:basedOn w:val="DefaultParagraphFont"/>
    <w:uiPriority w:val="99"/>
    <w:semiHidden/>
    <w:unhideWhenUsed/>
    <w:rsid w:val="00156B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187">
      <w:bodyDiv w:val="1"/>
      <w:marLeft w:val="0"/>
      <w:marRight w:val="0"/>
      <w:marTop w:val="0"/>
      <w:marBottom w:val="0"/>
      <w:divBdr>
        <w:top w:val="none" w:sz="0" w:space="0" w:color="auto"/>
        <w:left w:val="none" w:sz="0" w:space="0" w:color="auto"/>
        <w:bottom w:val="none" w:sz="0" w:space="0" w:color="auto"/>
        <w:right w:val="none" w:sz="0" w:space="0" w:color="auto"/>
      </w:divBdr>
    </w:div>
    <w:div w:id="8485222">
      <w:bodyDiv w:val="1"/>
      <w:marLeft w:val="0"/>
      <w:marRight w:val="0"/>
      <w:marTop w:val="0"/>
      <w:marBottom w:val="0"/>
      <w:divBdr>
        <w:top w:val="none" w:sz="0" w:space="0" w:color="auto"/>
        <w:left w:val="none" w:sz="0" w:space="0" w:color="auto"/>
        <w:bottom w:val="none" w:sz="0" w:space="0" w:color="auto"/>
        <w:right w:val="none" w:sz="0" w:space="0" w:color="auto"/>
      </w:divBdr>
    </w:div>
    <w:div w:id="103157683">
      <w:bodyDiv w:val="1"/>
      <w:marLeft w:val="0"/>
      <w:marRight w:val="0"/>
      <w:marTop w:val="0"/>
      <w:marBottom w:val="0"/>
      <w:divBdr>
        <w:top w:val="none" w:sz="0" w:space="0" w:color="auto"/>
        <w:left w:val="none" w:sz="0" w:space="0" w:color="auto"/>
        <w:bottom w:val="none" w:sz="0" w:space="0" w:color="auto"/>
        <w:right w:val="none" w:sz="0" w:space="0" w:color="auto"/>
      </w:divBdr>
    </w:div>
    <w:div w:id="124391104">
      <w:bodyDiv w:val="1"/>
      <w:marLeft w:val="0"/>
      <w:marRight w:val="0"/>
      <w:marTop w:val="0"/>
      <w:marBottom w:val="0"/>
      <w:divBdr>
        <w:top w:val="none" w:sz="0" w:space="0" w:color="auto"/>
        <w:left w:val="none" w:sz="0" w:space="0" w:color="auto"/>
        <w:bottom w:val="none" w:sz="0" w:space="0" w:color="auto"/>
        <w:right w:val="none" w:sz="0" w:space="0" w:color="auto"/>
      </w:divBdr>
    </w:div>
    <w:div w:id="355354286">
      <w:bodyDiv w:val="1"/>
      <w:marLeft w:val="0"/>
      <w:marRight w:val="0"/>
      <w:marTop w:val="0"/>
      <w:marBottom w:val="0"/>
      <w:divBdr>
        <w:top w:val="none" w:sz="0" w:space="0" w:color="auto"/>
        <w:left w:val="none" w:sz="0" w:space="0" w:color="auto"/>
        <w:bottom w:val="none" w:sz="0" w:space="0" w:color="auto"/>
        <w:right w:val="none" w:sz="0" w:space="0" w:color="auto"/>
      </w:divBdr>
    </w:div>
    <w:div w:id="374623222">
      <w:bodyDiv w:val="1"/>
      <w:marLeft w:val="0"/>
      <w:marRight w:val="0"/>
      <w:marTop w:val="0"/>
      <w:marBottom w:val="0"/>
      <w:divBdr>
        <w:top w:val="none" w:sz="0" w:space="0" w:color="auto"/>
        <w:left w:val="none" w:sz="0" w:space="0" w:color="auto"/>
        <w:bottom w:val="none" w:sz="0" w:space="0" w:color="auto"/>
        <w:right w:val="none" w:sz="0" w:space="0" w:color="auto"/>
      </w:divBdr>
    </w:div>
    <w:div w:id="401636426">
      <w:bodyDiv w:val="1"/>
      <w:marLeft w:val="0"/>
      <w:marRight w:val="0"/>
      <w:marTop w:val="0"/>
      <w:marBottom w:val="0"/>
      <w:divBdr>
        <w:top w:val="none" w:sz="0" w:space="0" w:color="auto"/>
        <w:left w:val="none" w:sz="0" w:space="0" w:color="auto"/>
        <w:bottom w:val="none" w:sz="0" w:space="0" w:color="auto"/>
        <w:right w:val="none" w:sz="0" w:space="0" w:color="auto"/>
      </w:divBdr>
    </w:div>
    <w:div w:id="501512399">
      <w:bodyDiv w:val="1"/>
      <w:marLeft w:val="0"/>
      <w:marRight w:val="0"/>
      <w:marTop w:val="0"/>
      <w:marBottom w:val="0"/>
      <w:divBdr>
        <w:top w:val="none" w:sz="0" w:space="0" w:color="auto"/>
        <w:left w:val="none" w:sz="0" w:space="0" w:color="auto"/>
        <w:bottom w:val="none" w:sz="0" w:space="0" w:color="auto"/>
        <w:right w:val="none" w:sz="0" w:space="0" w:color="auto"/>
      </w:divBdr>
    </w:div>
    <w:div w:id="505945276">
      <w:bodyDiv w:val="1"/>
      <w:marLeft w:val="0"/>
      <w:marRight w:val="0"/>
      <w:marTop w:val="0"/>
      <w:marBottom w:val="0"/>
      <w:divBdr>
        <w:top w:val="none" w:sz="0" w:space="0" w:color="auto"/>
        <w:left w:val="none" w:sz="0" w:space="0" w:color="auto"/>
        <w:bottom w:val="none" w:sz="0" w:space="0" w:color="auto"/>
        <w:right w:val="none" w:sz="0" w:space="0" w:color="auto"/>
      </w:divBdr>
    </w:div>
    <w:div w:id="574632273">
      <w:bodyDiv w:val="1"/>
      <w:marLeft w:val="0"/>
      <w:marRight w:val="0"/>
      <w:marTop w:val="0"/>
      <w:marBottom w:val="0"/>
      <w:divBdr>
        <w:top w:val="none" w:sz="0" w:space="0" w:color="auto"/>
        <w:left w:val="none" w:sz="0" w:space="0" w:color="auto"/>
        <w:bottom w:val="none" w:sz="0" w:space="0" w:color="auto"/>
        <w:right w:val="none" w:sz="0" w:space="0" w:color="auto"/>
      </w:divBdr>
    </w:div>
    <w:div w:id="593823224">
      <w:bodyDiv w:val="1"/>
      <w:marLeft w:val="0"/>
      <w:marRight w:val="0"/>
      <w:marTop w:val="0"/>
      <w:marBottom w:val="0"/>
      <w:divBdr>
        <w:top w:val="none" w:sz="0" w:space="0" w:color="auto"/>
        <w:left w:val="none" w:sz="0" w:space="0" w:color="auto"/>
        <w:bottom w:val="none" w:sz="0" w:space="0" w:color="auto"/>
        <w:right w:val="none" w:sz="0" w:space="0" w:color="auto"/>
      </w:divBdr>
    </w:div>
    <w:div w:id="617496320">
      <w:bodyDiv w:val="1"/>
      <w:marLeft w:val="0"/>
      <w:marRight w:val="0"/>
      <w:marTop w:val="0"/>
      <w:marBottom w:val="0"/>
      <w:divBdr>
        <w:top w:val="none" w:sz="0" w:space="0" w:color="auto"/>
        <w:left w:val="none" w:sz="0" w:space="0" w:color="auto"/>
        <w:bottom w:val="none" w:sz="0" w:space="0" w:color="auto"/>
        <w:right w:val="none" w:sz="0" w:space="0" w:color="auto"/>
      </w:divBdr>
    </w:div>
    <w:div w:id="639655026">
      <w:bodyDiv w:val="1"/>
      <w:marLeft w:val="0"/>
      <w:marRight w:val="0"/>
      <w:marTop w:val="0"/>
      <w:marBottom w:val="0"/>
      <w:divBdr>
        <w:top w:val="none" w:sz="0" w:space="0" w:color="auto"/>
        <w:left w:val="none" w:sz="0" w:space="0" w:color="auto"/>
        <w:bottom w:val="none" w:sz="0" w:space="0" w:color="auto"/>
        <w:right w:val="none" w:sz="0" w:space="0" w:color="auto"/>
      </w:divBdr>
    </w:div>
    <w:div w:id="701174647">
      <w:bodyDiv w:val="1"/>
      <w:marLeft w:val="0"/>
      <w:marRight w:val="0"/>
      <w:marTop w:val="0"/>
      <w:marBottom w:val="0"/>
      <w:divBdr>
        <w:top w:val="none" w:sz="0" w:space="0" w:color="auto"/>
        <w:left w:val="none" w:sz="0" w:space="0" w:color="auto"/>
        <w:bottom w:val="none" w:sz="0" w:space="0" w:color="auto"/>
        <w:right w:val="none" w:sz="0" w:space="0" w:color="auto"/>
      </w:divBdr>
    </w:div>
    <w:div w:id="905261134">
      <w:bodyDiv w:val="1"/>
      <w:marLeft w:val="0"/>
      <w:marRight w:val="0"/>
      <w:marTop w:val="0"/>
      <w:marBottom w:val="0"/>
      <w:divBdr>
        <w:top w:val="none" w:sz="0" w:space="0" w:color="auto"/>
        <w:left w:val="none" w:sz="0" w:space="0" w:color="auto"/>
        <w:bottom w:val="none" w:sz="0" w:space="0" w:color="auto"/>
        <w:right w:val="none" w:sz="0" w:space="0" w:color="auto"/>
      </w:divBdr>
    </w:div>
    <w:div w:id="1023281999">
      <w:bodyDiv w:val="1"/>
      <w:marLeft w:val="0"/>
      <w:marRight w:val="0"/>
      <w:marTop w:val="0"/>
      <w:marBottom w:val="0"/>
      <w:divBdr>
        <w:top w:val="none" w:sz="0" w:space="0" w:color="auto"/>
        <w:left w:val="none" w:sz="0" w:space="0" w:color="auto"/>
        <w:bottom w:val="none" w:sz="0" w:space="0" w:color="auto"/>
        <w:right w:val="none" w:sz="0" w:space="0" w:color="auto"/>
      </w:divBdr>
    </w:div>
    <w:div w:id="1040936475">
      <w:bodyDiv w:val="1"/>
      <w:marLeft w:val="0"/>
      <w:marRight w:val="0"/>
      <w:marTop w:val="0"/>
      <w:marBottom w:val="0"/>
      <w:divBdr>
        <w:top w:val="none" w:sz="0" w:space="0" w:color="auto"/>
        <w:left w:val="none" w:sz="0" w:space="0" w:color="auto"/>
        <w:bottom w:val="none" w:sz="0" w:space="0" w:color="auto"/>
        <w:right w:val="none" w:sz="0" w:space="0" w:color="auto"/>
      </w:divBdr>
    </w:div>
    <w:div w:id="1093865242">
      <w:bodyDiv w:val="1"/>
      <w:marLeft w:val="0"/>
      <w:marRight w:val="0"/>
      <w:marTop w:val="0"/>
      <w:marBottom w:val="0"/>
      <w:divBdr>
        <w:top w:val="none" w:sz="0" w:space="0" w:color="auto"/>
        <w:left w:val="none" w:sz="0" w:space="0" w:color="auto"/>
        <w:bottom w:val="none" w:sz="0" w:space="0" w:color="auto"/>
        <w:right w:val="none" w:sz="0" w:space="0" w:color="auto"/>
      </w:divBdr>
    </w:div>
    <w:div w:id="1244224952">
      <w:bodyDiv w:val="1"/>
      <w:marLeft w:val="0"/>
      <w:marRight w:val="0"/>
      <w:marTop w:val="0"/>
      <w:marBottom w:val="0"/>
      <w:divBdr>
        <w:top w:val="none" w:sz="0" w:space="0" w:color="auto"/>
        <w:left w:val="none" w:sz="0" w:space="0" w:color="auto"/>
        <w:bottom w:val="none" w:sz="0" w:space="0" w:color="auto"/>
        <w:right w:val="none" w:sz="0" w:space="0" w:color="auto"/>
      </w:divBdr>
    </w:div>
    <w:div w:id="1246299124">
      <w:bodyDiv w:val="1"/>
      <w:marLeft w:val="0"/>
      <w:marRight w:val="0"/>
      <w:marTop w:val="0"/>
      <w:marBottom w:val="0"/>
      <w:divBdr>
        <w:top w:val="none" w:sz="0" w:space="0" w:color="auto"/>
        <w:left w:val="none" w:sz="0" w:space="0" w:color="auto"/>
        <w:bottom w:val="none" w:sz="0" w:space="0" w:color="auto"/>
        <w:right w:val="none" w:sz="0" w:space="0" w:color="auto"/>
      </w:divBdr>
    </w:div>
    <w:div w:id="1341808558">
      <w:bodyDiv w:val="1"/>
      <w:marLeft w:val="0"/>
      <w:marRight w:val="0"/>
      <w:marTop w:val="0"/>
      <w:marBottom w:val="0"/>
      <w:divBdr>
        <w:top w:val="none" w:sz="0" w:space="0" w:color="auto"/>
        <w:left w:val="none" w:sz="0" w:space="0" w:color="auto"/>
        <w:bottom w:val="none" w:sz="0" w:space="0" w:color="auto"/>
        <w:right w:val="none" w:sz="0" w:space="0" w:color="auto"/>
      </w:divBdr>
    </w:div>
    <w:div w:id="1395471112">
      <w:bodyDiv w:val="1"/>
      <w:marLeft w:val="0"/>
      <w:marRight w:val="0"/>
      <w:marTop w:val="0"/>
      <w:marBottom w:val="0"/>
      <w:divBdr>
        <w:top w:val="none" w:sz="0" w:space="0" w:color="auto"/>
        <w:left w:val="none" w:sz="0" w:space="0" w:color="auto"/>
        <w:bottom w:val="none" w:sz="0" w:space="0" w:color="auto"/>
        <w:right w:val="none" w:sz="0" w:space="0" w:color="auto"/>
      </w:divBdr>
    </w:div>
    <w:div w:id="1396584230">
      <w:bodyDiv w:val="1"/>
      <w:marLeft w:val="0"/>
      <w:marRight w:val="0"/>
      <w:marTop w:val="0"/>
      <w:marBottom w:val="0"/>
      <w:divBdr>
        <w:top w:val="none" w:sz="0" w:space="0" w:color="auto"/>
        <w:left w:val="none" w:sz="0" w:space="0" w:color="auto"/>
        <w:bottom w:val="none" w:sz="0" w:space="0" w:color="auto"/>
        <w:right w:val="none" w:sz="0" w:space="0" w:color="auto"/>
      </w:divBdr>
    </w:div>
    <w:div w:id="1407190538">
      <w:bodyDiv w:val="1"/>
      <w:marLeft w:val="0"/>
      <w:marRight w:val="0"/>
      <w:marTop w:val="0"/>
      <w:marBottom w:val="0"/>
      <w:divBdr>
        <w:top w:val="none" w:sz="0" w:space="0" w:color="auto"/>
        <w:left w:val="none" w:sz="0" w:space="0" w:color="auto"/>
        <w:bottom w:val="none" w:sz="0" w:space="0" w:color="auto"/>
        <w:right w:val="none" w:sz="0" w:space="0" w:color="auto"/>
      </w:divBdr>
    </w:div>
    <w:div w:id="1430614288">
      <w:bodyDiv w:val="1"/>
      <w:marLeft w:val="0"/>
      <w:marRight w:val="0"/>
      <w:marTop w:val="0"/>
      <w:marBottom w:val="0"/>
      <w:divBdr>
        <w:top w:val="none" w:sz="0" w:space="0" w:color="auto"/>
        <w:left w:val="none" w:sz="0" w:space="0" w:color="auto"/>
        <w:bottom w:val="none" w:sz="0" w:space="0" w:color="auto"/>
        <w:right w:val="none" w:sz="0" w:space="0" w:color="auto"/>
      </w:divBdr>
    </w:div>
    <w:div w:id="1552230326">
      <w:bodyDiv w:val="1"/>
      <w:marLeft w:val="0"/>
      <w:marRight w:val="0"/>
      <w:marTop w:val="0"/>
      <w:marBottom w:val="0"/>
      <w:divBdr>
        <w:top w:val="none" w:sz="0" w:space="0" w:color="auto"/>
        <w:left w:val="none" w:sz="0" w:space="0" w:color="auto"/>
        <w:bottom w:val="none" w:sz="0" w:space="0" w:color="auto"/>
        <w:right w:val="none" w:sz="0" w:space="0" w:color="auto"/>
      </w:divBdr>
    </w:div>
    <w:div w:id="1583104243">
      <w:bodyDiv w:val="1"/>
      <w:marLeft w:val="0"/>
      <w:marRight w:val="0"/>
      <w:marTop w:val="0"/>
      <w:marBottom w:val="0"/>
      <w:divBdr>
        <w:top w:val="none" w:sz="0" w:space="0" w:color="auto"/>
        <w:left w:val="none" w:sz="0" w:space="0" w:color="auto"/>
        <w:bottom w:val="none" w:sz="0" w:space="0" w:color="auto"/>
        <w:right w:val="none" w:sz="0" w:space="0" w:color="auto"/>
      </w:divBdr>
    </w:div>
    <w:div w:id="1744134536">
      <w:bodyDiv w:val="1"/>
      <w:marLeft w:val="0"/>
      <w:marRight w:val="0"/>
      <w:marTop w:val="0"/>
      <w:marBottom w:val="0"/>
      <w:divBdr>
        <w:top w:val="none" w:sz="0" w:space="0" w:color="auto"/>
        <w:left w:val="none" w:sz="0" w:space="0" w:color="auto"/>
        <w:bottom w:val="none" w:sz="0" w:space="0" w:color="auto"/>
        <w:right w:val="none" w:sz="0" w:space="0" w:color="auto"/>
      </w:divBdr>
    </w:div>
    <w:div w:id="1846941567">
      <w:bodyDiv w:val="1"/>
      <w:marLeft w:val="0"/>
      <w:marRight w:val="0"/>
      <w:marTop w:val="0"/>
      <w:marBottom w:val="0"/>
      <w:divBdr>
        <w:top w:val="none" w:sz="0" w:space="0" w:color="auto"/>
        <w:left w:val="none" w:sz="0" w:space="0" w:color="auto"/>
        <w:bottom w:val="none" w:sz="0" w:space="0" w:color="auto"/>
        <w:right w:val="none" w:sz="0" w:space="0" w:color="auto"/>
      </w:divBdr>
    </w:div>
    <w:div w:id="1855420644">
      <w:bodyDiv w:val="1"/>
      <w:marLeft w:val="0"/>
      <w:marRight w:val="0"/>
      <w:marTop w:val="0"/>
      <w:marBottom w:val="0"/>
      <w:divBdr>
        <w:top w:val="none" w:sz="0" w:space="0" w:color="auto"/>
        <w:left w:val="none" w:sz="0" w:space="0" w:color="auto"/>
        <w:bottom w:val="none" w:sz="0" w:space="0" w:color="auto"/>
        <w:right w:val="none" w:sz="0" w:space="0" w:color="auto"/>
      </w:divBdr>
    </w:div>
    <w:div w:id="1867404007">
      <w:bodyDiv w:val="1"/>
      <w:marLeft w:val="0"/>
      <w:marRight w:val="0"/>
      <w:marTop w:val="0"/>
      <w:marBottom w:val="0"/>
      <w:divBdr>
        <w:top w:val="none" w:sz="0" w:space="0" w:color="auto"/>
        <w:left w:val="none" w:sz="0" w:space="0" w:color="auto"/>
        <w:bottom w:val="none" w:sz="0" w:space="0" w:color="auto"/>
        <w:right w:val="none" w:sz="0" w:space="0" w:color="auto"/>
      </w:divBdr>
    </w:div>
    <w:div w:id="1952004425">
      <w:bodyDiv w:val="1"/>
      <w:marLeft w:val="0"/>
      <w:marRight w:val="0"/>
      <w:marTop w:val="0"/>
      <w:marBottom w:val="0"/>
      <w:divBdr>
        <w:top w:val="none" w:sz="0" w:space="0" w:color="auto"/>
        <w:left w:val="none" w:sz="0" w:space="0" w:color="auto"/>
        <w:bottom w:val="none" w:sz="0" w:space="0" w:color="auto"/>
        <w:right w:val="none" w:sz="0" w:space="0" w:color="auto"/>
      </w:divBdr>
    </w:div>
    <w:div w:id="1969817302">
      <w:bodyDiv w:val="1"/>
      <w:marLeft w:val="0"/>
      <w:marRight w:val="0"/>
      <w:marTop w:val="0"/>
      <w:marBottom w:val="0"/>
      <w:divBdr>
        <w:top w:val="none" w:sz="0" w:space="0" w:color="auto"/>
        <w:left w:val="none" w:sz="0" w:space="0" w:color="auto"/>
        <w:bottom w:val="none" w:sz="0" w:space="0" w:color="auto"/>
        <w:right w:val="none" w:sz="0" w:space="0" w:color="auto"/>
      </w:divBdr>
    </w:div>
    <w:div w:id="2009285965">
      <w:bodyDiv w:val="1"/>
      <w:marLeft w:val="0"/>
      <w:marRight w:val="0"/>
      <w:marTop w:val="0"/>
      <w:marBottom w:val="0"/>
      <w:divBdr>
        <w:top w:val="none" w:sz="0" w:space="0" w:color="auto"/>
        <w:left w:val="none" w:sz="0" w:space="0" w:color="auto"/>
        <w:bottom w:val="none" w:sz="0" w:space="0" w:color="auto"/>
        <w:right w:val="none" w:sz="0" w:space="0" w:color="auto"/>
      </w:divBdr>
    </w:div>
    <w:div w:id="2085956671">
      <w:bodyDiv w:val="1"/>
      <w:marLeft w:val="0"/>
      <w:marRight w:val="0"/>
      <w:marTop w:val="0"/>
      <w:marBottom w:val="0"/>
      <w:divBdr>
        <w:top w:val="none" w:sz="0" w:space="0" w:color="auto"/>
        <w:left w:val="none" w:sz="0" w:space="0" w:color="auto"/>
        <w:bottom w:val="none" w:sz="0" w:space="0" w:color="auto"/>
        <w:right w:val="none" w:sz="0" w:space="0" w:color="auto"/>
      </w:divBdr>
    </w:div>
    <w:div w:id="2134783573">
      <w:bodyDiv w:val="1"/>
      <w:marLeft w:val="0"/>
      <w:marRight w:val="0"/>
      <w:marTop w:val="0"/>
      <w:marBottom w:val="0"/>
      <w:divBdr>
        <w:top w:val="none" w:sz="0" w:space="0" w:color="auto"/>
        <w:left w:val="none" w:sz="0" w:space="0" w:color="auto"/>
        <w:bottom w:val="none" w:sz="0" w:space="0" w:color="auto"/>
        <w:right w:val="none" w:sz="0" w:space="0" w:color="auto"/>
      </w:divBdr>
    </w:div>
    <w:div w:id="214172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github.ibm.com/ecosystem-engineering-si-lab/E-Commerce-with-watsonx.data/blob/main/src/spark%20and%20delta.ipyn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ibm.com/ecosystem-engineering-si-lab/E-Commerce-with-watsonx.data/blob/main/src/code_realtime.ipynb"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ibm.com/ecosystem-engineering-si-lab/E-Commerce-with-watsonx.data/blob/main/src/Iceberg_code_ecommerce.ipynb"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ibm.com/docs/en/watsonx/watsonxdata/2.0.x?topic=wscpd-running-spark-notebook-from-watson-studio-cloud-pak-data" TargetMode="External"/><Relationship Id="rId4" Type="http://schemas.openxmlformats.org/officeDocument/2006/relationships/settings" Target="settings.xml"/><Relationship Id="rId9" Type="http://schemas.openxmlformats.org/officeDocument/2006/relationships/hyperlink" Target="https://www.ibm.com/docs/en/watsonx/watsonxdata/2.0.x?topic=working-spark" TargetMode="External"/><Relationship Id="rId14" Type="http://schemas.openxmlformats.org/officeDocument/2006/relationships/hyperlink" Target="https://www.ibm.com/docs/en/cognos-analytics/12.0.0?topic=administration-new-watsonxdata-connection-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13</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E-commerce Platform Optimization Using watsonx.data, ODF’s, and Apache Spark</vt:lpstr>
    </vt:vector>
  </TitlesOfParts>
  <Manager/>
  <Company>Netra C N</Company>
  <LinksUpToDate>false</LinksUpToDate>
  <CharactersWithSpaces>18093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Platform Optimization Using watsonx.data, ODF’s, and Apache Spark</dc:title>
  <dc:subject/>
  <dc:creator>python-docx</dc:creator>
  <cp:keywords/>
  <dc:description>generated by python-docx</dc:description>
  <cp:lastModifiedBy>Netra C N C N</cp:lastModifiedBy>
  <cp:revision>193</cp:revision>
  <dcterms:created xsi:type="dcterms:W3CDTF">2024-11-19T15:48:00Z</dcterms:created>
  <dcterms:modified xsi:type="dcterms:W3CDTF">2024-12-02T14:25:00Z</dcterms:modified>
  <cp:category/>
</cp:coreProperties>
</file>