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DB0B264" w:rsidR="00C34C6B" w:rsidRDefault="2D0C1849" w:rsidP="467D5E43">
      <w:pPr>
        <w:rPr>
          <w:rFonts w:ascii="Calibri" w:eastAsia="Calibri" w:hAnsi="Calibri" w:cs="Calibri"/>
          <w:b/>
          <w:bCs/>
          <w:sz w:val="32"/>
          <w:szCs w:val="32"/>
        </w:rPr>
      </w:pPr>
      <w:r w:rsidRPr="2D0C1849">
        <w:rPr>
          <w:rFonts w:ascii="Calibri" w:eastAsia="Calibri" w:hAnsi="Calibri" w:cs="Calibri"/>
          <w:b/>
          <w:bCs/>
          <w:sz w:val="32"/>
          <w:szCs w:val="32"/>
        </w:rPr>
        <w:t xml:space="preserve">IBM Db2 Bridge: End to End Schema Conversion and Data Migration from Netezza to Db2 </w:t>
      </w:r>
    </w:p>
    <w:p w14:paraId="11021387" w14:textId="70EA1950" w:rsidR="25CE11AF" w:rsidRDefault="2D0C1849" w:rsidP="25CE11AF">
      <w:pPr>
        <w:rPr>
          <w:rFonts w:ascii="Calibri" w:eastAsia="Calibri" w:hAnsi="Calibri" w:cs="Calibri"/>
          <w:b/>
          <w:bCs/>
          <w:sz w:val="28"/>
          <w:szCs w:val="28"/>
        </w:rPr>
      </w:pPr>
      <w:r w:rsidRPr="2D0C1849">
        <w:rPr>
          <w:rFonts w:ascii="Calibri" w:eastAsia="Calibri" w:hAnsi="Calibri" w:cs="Calibri"/>
          <w:b/>
          <w:bCs/>
          <w:sz w:val="28"/>
          <w:szCs w:val="28"/>
        </w:rPr>
        <w:t xml:space="preserve">By: Sakshi Khokhar and Sairaman K  </w:t>
      </w:r>
    </w:p>
    <w:p w14:paraId="1FAF4E62" w14:textId="592D8FFE" w:rsidR="467D5E43" w:rsidRDefault="467D5E43" w:rsidP="467D5E43">
      <w:pPr>
        <w:rPr>
          <w:rFonts w:ascii="Calibri" w:eastAsia="Calibri" w:hAnsi="Calibri" w:cs="Calibri"/>
          <w:b/>
          <w:bCs/>
          <w:sz w:val="28"/>
          <w:szCs w:val="28"/>
        </w:rPr>
      </w:pPr>
      <w:r>
        <w:rPr>
          <w:noProof/>
        </w:rPr>
        <w:drawing>
          <wp:inline distT="0" distB="0" distL="0" distR="0" wp14:anchorId="76366C8F" wp14:editId="53B03D9F">
            <wp:extent cx="5943600" cy="3962400"/>
            <wp:effectExtent l="0" t="0" r="0" b="0"/>
            <wp:docPr id="1777117178" name="Picture 1777117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A061124" w14:textId="7FB282A9" w:rsidR="467D5E43" w:rsidRDefault="7C9D2126" w:rsidP="467D5E43">
      <w:pPr>
        <w:rPr>
          <w:rFonts w:ascii="Calibri" w:eastAsia="Calibri" w:hAnsi="Calibri" w:cs="Calibri"/>
          <w:b/>
          <w:bCs/>
          <w:sz w:val="28"/>
          <w:szCs w:val="28"/>
        </w:rPr>
      </w:pPr>
      <w:r w:rsidRPr="7C9D2126">
        <w:rPr>
          <w:rFonts w:ascii="Calibri" w:eastAsia="Calibri" w:hAnsi="Calibri" w:cs="Calibri"/>
          <w:b/>
          <w:bCs/>
          <w:sz w:val="28"/>
          <w:szCs w:val="28"/>
        </w:rPr>
        <w:t>Introduction:</w:t>
      </w:r>
    </w:p>
    <w:p w14:paraId="41E76C6F" w14:textId="34DF69E0" w:rsidR="7C9D2126" w:rsidRDefault="2D0C1849" w:rsidP="7C9D2126">
      <w:pPr>
        <w:rPr>
          <w:rFonts w:ascii="Calibri" w:eastAsia="Calibri" w:hAnsi="Calibri" w:cs="Calibri"/>
          <w:color w:val="000000" w:themeColor="text1"/>
        </w:rPr>
      </w:pPr>
      <w:r w:rsidRPr="2D0C1849">
        <w:rPr>
          <w:rFonts w:ascii="Calibri" w:eastAsia="Calibri" w:hAnsi="Calibri" w:cs="Calibri"/>
          <w:color w:val="000000" w:themeColor="text1"/>
        </w:rPr>
        <w:t>In today’s data-driven enterprises, migrating workloads across platforms has become a strategic imperative, whether it is for infrastructure modernization, cloud adoption or performance optimization. However, data migration is rarely straightforward. It often involves challenges such as schema mismatches, dependency issues and performance risks.</w:t>
      </w:r>
    </w:p>
    <w:p w14:paraId="5EB463A1" w14:textId="3CF7F961" w:rsidR="7C9D2126" w:rsidRDefault="069769C4" w:rsidP="7C9D2126">
      <w:r w:rsidRPr="069769C4">
        <w:rPr>
          <w:rFonts w:ascii="Calibri" w:eastAsia="Calibri" w:hAnsi="Calibri" w:cs="Calibri"/>
          <w:color w:val="1D1C1D"/>
        </w:rPr>
        <w:t xml:space="preserve">This post explores how IBM Db2 Bridge enables seamless, end-to-end schema conversion and data migration from Netezza to Db2, ensuring efficiency, integrity and minimal disruption throughout the process. </w:t>
      </w:r>
      <w:r w:rsidRPr="069769C4">
        <w:rPr>
          <w:rFonts w:ascii="Calibri" w:eastAsia="Calibri" w:hAnsi="Calibri" w:cs="Calibri"/>
          <w:color w:val="000000" w:themeColor="text1"/>
        </w:rPr>
        <w:t>It leverages automated DDL conversion and high-speed data streaming to simplify complex migrations. With built-in logging and compatibility checks, it helps to achieve transparency and error-free execution for enterprise workloads.</w:t>
      </w:r>
      <w:r w:rsidR="7C9D2126">
        <w:br/>
      </w:r>
    </w:p>
    <w:p w14:paraId="10A7096B" w14:textId="0E422A9E" w:rsidR="7C9D2126" w:rsidRDefault="138EBAC7" w:rsidP="7C9D2126">
      <w:pPr>
        <w:rPr>
          <w:rFonts w:ascii="Calibri" w:eastAsia="Calibri" w:hAnsi="Calibri" w:cs="Calibri"/>
          <w:b/>
          <w:bCs/>
          <w:sz w:val="28"/>
          <w:szCs w:val="28"/>
        </w:rPr>
      </w:pPr>
      <w:r w:rsidRPr="138EBAC7">
        <w:rPr>
          <w:rFonts w:ascii="Calibri" w:eastAsia="Calibri" w:hAnsi="Calibri" w:cs="Calibri"/>
          <w:b/>
          <w:bCs/>
          <w:sz w:val="28"/>
          <w:szCs w:val="28"/>
        </w:rPr>
        <w:t>What is IBM Db2 Bridge?</w:t>
      </w:r>
    </w:p>
    <w:p w14:paraId="6545C8C9" w14:textId="62685C31" w:rsidR="7C9D2126" w:rsidRDefault="2D0C1849" w:rsidP="7C9D2126">
      <w:pPr>
        <w:spacing w:before="240" w:after="240"/>
        <w:rPr>
          <w:rFonts w:ascii="Calibri" w:eastAsia="Calibri" w:hAnsi="Calibri" w:cs="Calibri"/>
          <w:color w:val="000000" w:themeColor="text1"/>
        </w:rPr>
      </w:pPr>
      <w:r w:rsidRPr="2D0C1849">
        <w:rPr>
          <w:rFonts w:ascii="Calibri" w:eastAsia="Calibri" w:hAnsi="Calibri" w:cs="Calibri"/>
          <w:color w:val="000000" w:themeColor="text1"/>
        </w:rPr>
        <w:lastRenderedPageBreak/>
        <w:t>IBM Db2 Bridge is a robust data movement tool designed to support a wide range of enterprise migration scenarios. Whether you're upgrading hardware, shifting operating systems or adopting cloud-native environments, Db2 Bridge simplifies the process by leveraging ODBC connectivity, making it platform-agnostic and highly adaptable.</w:t>
      </w:r>
    </w:p>
    <w:p w14:paraId="2E648179" w14:textId="5E756121" w:rsidR="7C9D2126" w:rsidRDefault="7C9D2126" w:rsidP="7C9D2126">
      <w:pPr>
        <w:spacing w:before="240" w:after="240"/>
        <w:rPr>
          <w:rFonts w:ascii="Calibri" w:eastAsia="Calibri" w:hAnsi="Calibri" w:cs="Calibri"/>
          <w:color w:val="000000" w:themeColor="text1"/>
        </w:rPr>
      </w:pPr>
      <w:r w:rsidRPr="7C9D2126">
        <w:rPr>
          <w:rFonts w:ascii="Calibri" w:eastAsia="Calibri" w:hAnsi="Calibri" w:cs="Calibri"/>
          <w:color w:val="000000" w:themeColor="text1"/>
        </w:rPr>
        <w:t>The tool offers several standout features, including support for diverse workloads-both transactional and analytical across on-premises and cloud deployments. It operates seamlessly across different operating systems and hardware architectures, ensuring smooth migrations while maintaining data integrity.</w:t>
      </w:r>
    </w:p>
    <w:p w14:paraId="06698EE6" w14:textId="27622856" w:rsidR="7C9D2126" w:rsidRDefault="7C9D2126" w:rsidP="7C9D2126">
      <w:pPr>
        <w:spacing w:before="240" w:after="240"/>
        <w:rPr>
          <w:rFonts w:ascii="Calibri" w:eastAsia="Calibri" w:hAnsi="Calibri" w:cs="Calibri"/>
          <w:color w:val="000000" w:themeColor="text1"/>
        </w:rPr>
      </w:pPr>
      <w:r w:rsidRPr="7C9D2126">
        <w:rPr>
          <w:rFonts w:ascii="Calibri" w:eastAsia="Calibri" w:hAnsi="Calibri" w:cs="Calibri"/>
          <w:color w:val="000000" w:themeColor="text1"/>
        </w:rPr>
        <w:t>Db2 Bridge integrates effortlessly into IBM’s data ecosystem, acting as a bridge between legacy systems and modern Db2 deployments. This enables organizations to modernize their infrastructure without rewriting applications or compromising data fidelity.</w:t>
      </w:r>
    </w:p>
    <w:p w14:paraId="274225D1" w14:textId="6B25CEE6" w:rsidR="7C9D2126" w:rsidRDefault="7C9D2126" w:rsidP="7C9D2126">
      <w:pPr>
        <w:spacing w:before="240" w:after="240"/>
        <w:rPr>
          <w:rFonts w:ascii="Calibri" w:eastAsia="Calibri" w:hAnsi="Calibri" w:cs="Calibri"/>
          <w:color w:val="000000" w:themeColor="text1"/>
        </w:rPr>
      </w:pPr>
    </w:p>
    <w:p w14:paraId="008B832D" w14:textId="5C2A416D" w:rsidR="7C9D2126" w:rsidRDefault="58F69DB4" w:rsidP="7C9D2126">
      <w:pPr>
        <w:rPr>
          <w:rFonts w:ascii="Calibri" w:eastAsia="Calibri" w:hAnsi="Calibri" w:cs="Calibri"/>
          <w:b/>
          <w:bCs/>
          <w:sz w:val="28"/>
          <w:szCs w:val="28"/>
        </w:rPr>
      </w:pPr>
      <w:r w:rsidRPr="58F69DB4">
        <w:rPr>
          <w:rFonts w:ascii="Calibri" w:eastAsia="Calibri" w:hAnsi="Calibri" w:cs="Calibri"/>
          <w:b/>
          <w:bCs/>
          <w:sz w:val="28"/>
          <w:szCs w:val="28"/>
        </w:rPr>
        <w:t>Migration Use Case: Netezza to Db2:</w:t>
      </w:r>
    </w:p>
    <w:p w14:paraId="51F5557A" w14:textId="4157A223" w:rsidR="7C9D2126" w:rsidRDefault="58F69DB4" w:rsidP="7C9D2126">
      <w:pPr>
        <w:spacing w:before="240" w:after="240"/>
        <w:rPr>
          <w:rFonts w:ascii="Calibri" w:eastAsia="Calibri" w:hAnsi="Calibri" w:cs="Calibri"/>
          <w:color w:val="000000" w:themeColor="text1"/>
        </w:rPr>
      </w:pPr>
      <w:r w:rsidRPr="58F69DB4">
        <w:rPr>
          <w:rFonts w:ascii="Calibri" w:eastAsia="Calibri" w:hAnsi="Calibri" w:cs="Calibri"/>
          <w:color w:val="000000" w:themeColor="text1"/>
        </w:rPr>
        <w:t>Db2 Bridge offers another great capability for data movement from Netezza to Db2 database which not only caters to the diverse range of use case scenarios but also offers a smooth and uninterrupted schema conversion and data migration. Some of the key features are discussed below:</w:t>
      </w:r>
    </w:p>
    <w:p w14:paraId="4C2A33E7" w14:textId="00829443" w:rsidR="58F69DB4" w:rsidRDefault="58F69DB4" w:rsidP="58F69DB4">
      <w:pPr>
        <w:pStyle w:val="ListParagraph"/>
        <w:numPr>
          <w:ilvl w:val="0"/>
          <w:numId w:val="8"/>
        </w:numPr>
        <w:spacing w:after="0"/>
        <w:rPr>
          <w:rFonts w:ascii="Calibri" w:eastAsia="Calibri" w:hAnsi="Calibri" w:cs="Calibri"/>
          <w:color w:val="000000" w:themeColor="text1"/>
        </w:rPr>
      </w:pPr>
      <w:r w:rsidRPr="58F69DB4">
        <w:rPr>
          <w:rFonts w:ascii="Calibri" w:eastAsia="Calibri" w:hAnsi="Calibri" w:cs="Calibri"/>
          <w:b/>
          <w:bCs/>
          <w:color w:val="000000" w:themeColor="text1"/>
        </w:rPr>
        <w:t>Efficient Extraction and Conversion</w:t>
      </w:r>
      <w:r w:rsidRPr="58F69DB4">
        <w:rPr>
          <w:rFonts w:ascii="Calibri" w:eastAsia="Calibri" w:hAnsi="Calibri" w:cs="Calibri"/>
          <w:color w:val="000000" w:themeColor="text1"/>
        </w:rPr>
        <w:t>: Db2 Bridge automates the extraction of DDLs from Netezza and converts them into Db2-compatible formats with precision. By ensuring schema alignment before migration, it minimizes manual intervention and accelerates the overall process.</w:t>
      </w:r>
    </w:p>
    <w:p w14:paraId="36525C00" w14:textId="22D7B4B2" w:rsidR="58F69DB4" w:rsidRDefault="58F69DB4" w:rsidP="58F69DB4">
      <w:pPr>
        <w:pStyle w:val="ListParagraph"/>
        <w:spacing w:after="0"/>
        <w:rPr>
          <w:rFonts w:ascii="Calibri" w:eastAsia="Calibri" w:hAnsi="Calibri" w:cs="Calibri"/>
          <w:color w:val="000000" w:themeColor="text1"/>
        </w:rPr>
      </w:pPr>
    </w:p>
    <w:p w14:paraId="4AA7EC95" w14:textId="3C206C40" w:rsidR="58F69DB4" w:rsidRDefault="58F69DB4" w:rsidP="58F69DB4">
      <w:pPr>
        <w:pStyle w:val="ListParagraph"/>
        <w:numPr>
          <w:ilvl w:val="0"/>
          <w:numId w:val="8"/>
        </w:numPr>
        <w:spacing w:after="0"/>
        <w:rPr>
          <w:rFonts w:ascii="Calibri" w:eastAsia="Calibri" w:hAnsi="Calibri" w:cs="Calibri"/>
          <w:color w:val="000000" w:themeColor="text1"/>
        </w:rPr>
      </w:pPr>
      <w:r w:rsidRPr="58F69DB4">
        <w:rPr>
          <w:rFonts w:ascii="Calibri" w:eastAsia="Calibri" w:hAnsi="Calibri" w:cs="Calibri"/>
          <w:b/>
          <w:bCs/>
          <w:color w:val="000000" w:themeColor="text1"/>
        </w:rPr>
        <w:t>Compatibility Checks</w:t>
      </w:r>
      <w:r w:rsidRPr="58F69DB4">
        <w:rPr>
          <w:rFonts w:ascii="Calibri" w:eastAsia="Calibri" w:hAnsi="Calibri" w:cs="Calibri"/>
          <w:color w:val="000000" w:themeColor="text1"/>
        </w:rPr>
        <w:t>: Before initiating data movement, Db2 Bridge performs thorough compatibility checks between source and target environments. The source table constraints and target table constraints are properly enforced before unloading and loading of data respectively. This proactive approach prevents migration errors and guarantees that the target schema adheres to the required rules.</w:t>
      </w:r>
    </w:p>
    <w:p w14:paraId="5B929AA7" w14:textId="266F7F20" w:rsidR="58F69DB4" w:rsidRDefault="58F69DB4" w:rsidP="58F69DB4">
      <w:pPr>
        <w:spacing w:after="0"/>
        <w:ind w:left="720"/>
        <w:rPr>
          <w:rFonts w:ascii="Calibri" w:eastAsia="Calibri" w:hAnsi="Calibri" w:cs="Calibri"/>
          <w:color w:val="000000" w:themeColor="text1"/>
        </w:rPr>
      </w:pPr>
    </w:p>
    <w:p w14:paraId="01BFE976" w14:textId="42822D91" w:rsidR="7C9D2126" w:rsidRDefault="58F69DB4" w:rsidP="58F69DB4">
      <w:pPr>
        <w:pStyle w:val="ListParagraph"/>
        <w:numPr>
          <w:ilvl w:val="0"/>
          <w:numId w:val="8"/>
        </w:numPr>
        <w:spacing w:after="0"/>
        <w:rPr>
          <w:rFonts w:ascii="Calibri" w:eastAsia="Calibri" w:hAnsi="Calibri" w:cs="Calibri"/>
          <w:color w:val="000000" w:themeColor="text1"/>
        </w:rPr>
      </w:pPr>
      <w:r w:rsidRPr="58F69DB4">
        <w:rPr>
          <w:rFonts w:ascii="Calibri" w:eastAsia="Calibri" w:hAnsi="Calibri" w:cs="Calibri"/>
          <w:b/>
          <w:bCs/>
          <w:color w:val="000000" w:themeColor="text1"/>
        </w:rPr>
        <w:t>Logging &amp; Monitoring</w:t>
      </w:r>
      <w:r w:rsidRPr="58F69DB4">
        <w:rPr>
          <w:rFonts w:ascii="Calibri" w:eastAsia="Calibri" w:hAnsi="Calibri" w:cs="Calibri"/>
          <w:color w:val="000000" w:themeColor="text1"/>
        </w:rPr>
        <w:t>: Db2 Bridge offers robust logging and monitoring capabilities throughout the migration lifecycle. Detailed logs capture every step, from schema conversion to data loading, enabling easy troubleshooting, thus providing visibility to progress, error alerts and ensuring transparency.</w:t>
      </w:r>
    </w:p>
    <w:p w14:paraId="418DCC51" w14:textId="4CDD8E45" w:rsidR="7C9D2126" w:rsidRDefault="7C9D2126" w:rsidP="7C9D2126">
      <w:pPr>
        <w:spacing w:before="240" w:after="240"/>
        <w:jc w:val="center"/>
        <w:rPr>
          <w:rFonts w:ascii="Calibri" w:eastAsia="Calibri" w:hAnsi="Calibri" w:cs="Calibri"/>
          <w:color w:val="000000" w:themeColor="text1"/>
        </w:rPr>
      </w:pPr>
      <w:r>
        <w:rPr>
          <w:noProof/>
        </w:rPr>
        <w:lastRenderedPageBreak/>
        <w:drawing>
          <wp:inline distT="0" distB="0" distL="0" distR="0" wp14:anchorId="1C58FDA6" wp14:editId="3BA7B46D">
            <wp:extent cx="3187645" cy="6742677"/>
            <wp:effectExtent l="0" t="0" r="0" b="0"/>
            <wp:docPr id="1316212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a:ext>
                      </a:extLst>
                    </a:blip>
                    <a:stretch>
                      <a:fillRect/>
                    </a:stretch>
                  </pic:blipFill>
                  <pic:spPr>
                    <a:xfrm>
                      <a:off x="0" y="0"/>
                      <a:ext cx="3187645" cy="6742677"/>
                    </a:xfrm>
                    <a:prstGeom prst="rect">
                      <a:avLst/>
                    </a:prstGeom>
                  </pic:spPr>
                </pic:pic>
              </a:graphicData>
            </a:graphic>
          </wp:inline>
        </w:drawing>
      </w:r>
    </w:p>
    <w:p w14:paraId="60DDEF0F" w14:textId="12EA89AC" w:rsidR="138EBAC7" w:rsidRDefault="77F9C4A3" w:rsidP="77F9C4A3">
      <w:pPr>
        <w:jc w:val="center"/>
        <w:rPr>
          <w:rFonts w:ascii="Calibri" w:eastAsia="Calibri" w:hAnsi="Calibri" w:cs="Calibri"/>
          <w:i/>
          <w:iCs/>
          <w:sz w:val="28"/>
          <w:szCs w:val="28"/>
        </w:rPr>
      </w:pPr>
      <w:r w:rsidRPr="77F9C4A3">
        <w:rPr>
          <w:rFonts w:ascii="Calibri" w:eastAsia="Calibri" w:hAnsi="Calibri" w:cs="Calibri"/>
          <w:b/>
          <w:bCs/>
          <w:sz w:val="28"/>
          <w:szCs w:val="28"/>
        </w:rPr>
        <w:t xml:space="preserve">Figure 1: </w:t>
      </w:r>
      <w:r w:rsidRPr="77F9C4A3">
        <w:rPr>
          <w:rFonts w:ascii="Calibri" w:eastAsia="Calibri" w:hAnsi="Calibri" w:cs="Calibri"/>
          <w:i/>
          <w:iCs/>
          <w:sz w:val="28"/>
          <w:szCs w:val="28"/>
        </w:rPr>
        <w:t>Netezza to Db2 Migration flow</w:t>
      </w:r>
    </w:p>
    <w:p w14:paraId="277D7761" w14:textId="20258D61" w:rsidR="7C9D2126" w:rsidRDefault="7C9D2126" w:rsidP="7C9D2126">
      <w:pPr>
        <w:rPr>
          <w:rFonts w:ascii="Calibri" w:eastAsia="Calibri" w:hAnsi="Calibri" w:cs="Calibri"/>
          <w:b/>
          <w:bCs/>
          <w:sz w:val="28"/>
          <w:szCs w:val="28"/>
        </w:rPr>
      </w:pPr>
      <w:r w:rsidRPr="7C9D2126">
        <w:rPr>
          <w:rFonts w:ascii="Calibri" w:eastAsia="Calibri" w:hAnsi="Calibri" w:cs="Calibri"/>
          <w:b/>
          <w:bCs/>
          <w:sz w:val="28"/>
          <w:szCs w:val="28"/>
        </w:rPr>
        <w:t>End to End Schema Conversion:</w:t>
      </w:r>
    </w:p>
    <w:p w14:paraId="058EA0CF" w14:textId="22EE8FF2" w:rsidR="7C9D2126" w:rsidRDefault="2D0C1849" w:rsidP="7C9D2126">
      <w:pPr>
        <w:spacing w:before="240" w:after="240"/>
        <w:rPr>
          <w:rFonts w:ascii="Calibri" w:eastAsia="Calibri" w:hAnsi="Calibri" w:cs="Calibri"/>
          <w:color w:val="000000" w:themeColor="text1"/>
        </w:rPr>
      </w:pPr>
      <w:r w:rsidRPr="2D0C1849">
        <w:rPr>
          <w:rFonts w:ascii="Calibri" w:eastAsia="Calibri" w:hAnsi="Calibri" w:cs="Calibri"/>
          <w:color w:val="000000" w:themeColor="text1"/>
        </w:rPr>
        <w:lastRenderedPageBreak/>
        <w:t>Migrating from Netezza to Db2 involves more than just moving data. It requires a comprehensive schema conversion to ensure structural compatibility and application continuity. Steps included in the schema conversion process are discussed below:</w:t>
      </w:r>
    </w:p>
    <w:p w14:paraId="267C0834" w14:textId="78A5E71F" w:rsidR="7C9D2126" w:rsidRDefault="58F69DB4" w:rsidP="7C9D2126">
      <w:pPr>
        <w:pStyle w:val="ListParagraph"/>
        <w:numPr>
          <w:ilvl w:val="0"/>
          <w:numId w:val="6"/>
        </w:numPr>
        <w:spacing w:after="0"/>
        <w:rPr>
          <w:rFonts w:ascii="Calibri" w:eastAsia="Calibri" w:hAnsi="Calibri" w:cs="Calibri"/>
          <w:color w:val="000000" w:themeColor="text1"/>
        </w:rPr>
      </w:pPr>
      <w:r w:rsidRPr="58F69DB4">
        <w:rPr>
          <w:rFonts w:ascii="Calibri" w:eastAsia="Calibri" w:hAnsi="Calibri" w:cs="Calibri"/>
          <w:b/>
          <w:bCs/>
          <w:color w:val="000000" w:themeColor="text1"/>
        </w:rPr>
        <w:t>Schema Discovery</w:t>
      </w:r>
      <w:r w:rsidRPr="58F69DB4">
        <w:rPr>
          <w:rFonts w:ascii="Calibri" w:eastAsia="Calibri" w:hAnsi="Calibri" w:cs="Calibri"/>
          <w:color w:val="000000" w:themeColor="text1"/>
        </w:rPr>
        <w:t>: Db2 Bridge auto-discovers the source schema using ODBC connectivity handling the schema elements efficiently.</w:t>
      </w:r>
    </w:p>
    <w:p w14:paraId="467A0488" w14:textId="3C93FFD8" w:rsidR="58F69DB4" w:rsidRDefault="58F69DB4" w:rsidP="58F69DB4">
      <w:pPr>
        <w:pStyle w:val="ListParagraph"/>
        <w:spacing w:after="0"/>
        <w:rPr>
          <w:rFonts w:ascii="Calibri" w:eastAsia="Calibri" w:hAnsi="Calibri" w:cs="Calibri"/>
          <w:color w:val="000000" w:themeColor="text1"/>
        </w:rPr>
      </w:pPr>
    </w:p>
    <w:p w14:paraId="78D8A2EE" w14:textId="2F27EEC6" w:rsidR="7C9D2126" w:rsidRDefault="58F69DB4" w:rsidP="58F69DB4">
      <w:pPr>
        <w:pStyle w:val="ListParagraph"/>
        <w:numPr>
          <w:ilvl w:val="0"/>
          <w:numId w:val="6"/>
        </w:numPr>
        <w:spacing w:after="0"/>
        <w:rPr>
          <w:rFonts w:ascii="Calibri" w:eastAsia="Calibri" w:hAnsi="Calibri" w:cs="Calibri"/>
          <w:color w:val="000000" w:themeColor="text1"/>
        </w:rPr>
      </w:pPr>
      <w:r w:rsidRPr="58F69DB4">
        <w:rPr>
          <w:rFonts w:ascii="Calibri" w:eastAsia="Calibri" w:hAnsi="Calibri" w:cs="Calibri"/>
          <w:b/>
          <w:bCs/>
          <w:color w:val="000000" w:themeColor="text1"/>
        </w:rPr>
        <w:t>Object Selection</w:t>
      </w:r>
      <w:r w:rsidRPr="58F69DB4">
        <w:rPr>
          <w:rFonts w:ascii="Calibri" w:eastAsia="Calibri" w:hAnsi="Calibri" w:cs="Calibri"/>
          <w:color w:val="000000" w:themeColor="text1"/>
        </w:rPr>
        <w:t>: Db2 Bridge provides flexibility in choosing what to migrate. Users can opt for an entire database when performing large-scale migrations or select specific tables for targeted transfers.</w:t>
      </w:r>
    </w:p>
    <w:p w14:paraId="7493AF8F" w14:textId="52A7621B" w:rsidR="58F69DB4" w:rsidRDefault="58F69DB4" w:rsidP="58F69DB4">
      <w:pPr>
        <w:spacing w:after="0"/>
        <w:rPr>
          <w:rFonts w:ascii="Calibri" w:eastAsia="Calibri" w:hAnsi="Calibri" w:cs="Calibri"/>
          <w:color w:val="000000" w:themeColor="text1"/>
        </w:rPr>
      </w:pPr>
    </w:p>
    <w:p w14:paraId="79273B3B" w14:textId="663F3D30" w:rsidR="7C9D2126" w:rsidRDefault="58F69DB4" w:rsidP="7C9D2126">
      <w:pPr>
        <w:pStyle w:val="ListParagraph"/>
        <w:numPr>
          <w:ilvl w:val="0"/>
          <w:numId w:val="6"/>
        </w:numPr>
        <w:spacing w:after="0"/>
      </w:pPr>
      <w:r w:rsidRPr="58F69DB4">
        <w:rPr>
          <w:rFonts w:ascii="Calibri" w:eastAsia="Calibri" w:hAnsi="Calibri" w:cs="Calibri"/>
          <w:b/>
          <w:bCs/>
          <w:color w:val="000000" w:themeColor="text1"/>
        </w:rPr>
        <w:t>DDL Extraction:</w:t>
      </w:r>
      <w:r w:rsidRPr="58F69DB4">
        <w:rPr>
          <w:rFonts w:ascii="Calibri" w:eastAsia="Calibri" w:hAnsi="Calibri" w:cs="Calibri"/>
          <w:color w:val="000000" w:themeColor="text1"/>
        </w:rPr>
        <w:t xml:space="preserve"> This involves the use of “</w:t>
      </w:r>
      <w:proofErr w:type="spellStart"/>
      <w:r w:rsidRPr="58F69DB4">
        <w:rPr>
          <w:rFonts w:ascii="Calibri" w:eastAsia="Calibri" w:hAnsi="Calibri" w:cs="Calibri"/>
          <w:color w:val="000000" w:themeColor="text1"/>
        </w:rPr>
        <w:t>nz_ddl</w:t>
      </w:r>
      <w:proofErr w:type="spellEnd"/>
      <w:r w:rsidRPr="58F69DB4">
        <w:rPr>
          <w:rFonts w:ascii="Calibri" w:eastAsia="Calibri" w:hAnsi="Calibri" w:cs="Calibri"/>
          <w:color w:val="000000" w:themeColor="text1"/>
        </w:rPr>
        <w:t xml:space="preserve">” utility which is part of Netezza Performance Server </w:t>
      </w:r>
      <w:r w:rsidRPr="58F69DB4">
        <w:rPr>
          <w:rFonts w:ascii="Calibri" w:eastAsia="Calibri" w:hAnsi="Calibri" w:cs="Calibri"/>
        </w:rPr>
        <w:t>(NPS) to perform the DDL extraction for the specified tables.</w:t>
      </w:r>
    </w:p>
    <w:p w14:paraId="740091EA" w14:textId="750B9269" w:rsidR="58F69DB4" w:rsidRDefault="58F69DB4" w:rsidP="58F69DB4">
      <w:pPr>
        <w:pStyle w:val="ListParagraph"/>
        <w:spacing w:after="0"/>
      </w:pPr>
    </w:p>
    <w:p w14:paraId="7C66F49A" w14:textId="3C778F3D" w:rsidR="7C9D2126" w:rsidRDefault="58F69DB4" w:rsidP="7C9D2126">
      <w:pPr>
        <w:pStyle w:val="ListParagraph"/>
        <w:numPr>
          <w:ilvl w:val="0"/>
          <w:numId w:val="6"/>
        </w:numPr>
        <w:spacing w:after="0"/>
      </w:pPr>
      <w:r w:rsidRPr="58F69DB4">
        <w:rPr>
          <w:rFonts w:ascii="Calibri" w:eastAsia="Calibri" w:hAnsi="Calibri" w:cs="Calibri"/>
          <w:b/>
          <w:bCs/>
        </w:rPr>
        <w:t>DDL Conversion:</w:t>
      </w:r>
      <w:r w:rsidRPr="58F69DB4">
        <w:rPr>
          <w:rFonts w:ascii="Calibri" w:eastAsia="Calibri" w:hAnsi="Calibri" w:cs="Calibri"/>
        </w:rPr>
        <w:t xml:space="preserve"> The input file containing the extracted DDL is then used by the required jar files to</w:t>
      </w:r>
      <w:r w:rsidRPr="58F69DB4">
        <w:t xml:space="preserve"> convert Netezza DDLs to Db2 compatible format.</w:t>
      </w:r>
    </w:p>
    <w:p w14:paraId="1CD2BDD7" w14:textId="05ADEC5F" w:rsidR="7C9D2126" w:rsidRDefault="7C9D2126" w:rsidP="58F69DB4">
      <w:pPr>
        <w:spacing w:after="0"/>
      </w:pPr>
    </w:p>
    <w:p w14:paraId="26733A9C" w14:textId="2EC5FCE0" w:rsidR="7C9D2126" w:rsidRDefault="7C9D2126" w:rsidP="58F69DB4">
      <w:pPr>
        <w:spacing w:after="0"/>
      </w:pPr>
    </w:p>
    <w:p w14:paraId="0AADAC95" w14:textId="42BE61B6" w:rsidR="7C9D2126" w:rsidRDefault="7C9D2126" w:rsidP="58F69DB4">
      <w:pPr>
        <w:spacing w:after="0"/>
        <w:jc w:val="center"/>
      </w:pPr>
      <w:r>
        <w:rPr>
          <w:noProof/>
        </w:rPr>
        <w:drawing>
          <wp:inline distT="0" distB="0" distL="0" distR="0" wp14:anchorId="3F5832C7" wp14:editId="59ED5212">
            <wp:extent cx="4328649" cy="3510637"/>
            <wp:effectExtent l="0" t="0" r="0" b="0"/>
            <wp:docPr id="1281605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a:ext>
                      </a:extLst>
                    </a:blip>
                    <a:stretch>
                      <a:fillRect/>
                    </a:stretch>
                  </pic:blipFill>
                  <pic:spPr>
                    <a:xfrm>
                      <a:off x="0" y="0"/>
                      <a:ext cx="4328649" cy="3510637"/>
                    </a:xfrm>
                    <a:prstGeom prst="rect">
                      <a:avLst/>
                    </a:prstGeom>
                  </pic:spPr>
                </pic:pic>
              </a:graphicData>
            </a:graphic>
          </wp:inline>
        </w:drawing>
      </w:r>
    </w:p>
    <w:p w14:paraId="56D2301D" w14:textId="79619AD0" w:rsidR="7C9D2126" w:rsidRDefault="7C9D2126" w:rsidP="58F69DB4">
      <w:pPr>
        <w:spacing w:after="0"/>
      </w:pPr>
    </w:p>
    <w:p w14:paraId="0B28ACC2" w14:textId="39121B0C" w:rsidR="7C9D2126" w:rsidRDefault="58F69DB4" w:rsidP="58F69DB4">
      <w:pPr>
        <w:jc w:val="center"/>
        <w:rPr>
          <w:rFonts w:ascii="Calibri" w:eastAsia="Calibri" w:hAnsi="Calibri" w:cs="Calibri"/>
          <w:i/>
          <w:iCs/>
          <w:sz w:val="28"/>
          <w:szCs w:val="28"/>
        </w:rPr>
      </w:pPr>
      <w:r w:rsidRPr="58F69DB4">
        <w:rPr>
          <w:rFonts w:ascii="Calibri" w:eastAsia="Calibri" w:hAnsi="Calibri" w:cs="Calibri"/>
          <w:b/>
          <w:bCs/>
          <w:sz w:val="28"/>
          <w:szCs w:val="28"/>
        </w:rPr>
        <w:t xml:space="preserve">Figure 2: </w:t>
      </w:r>
      <w:r w:rsidRPr="58F69DB4">
        <w:rPr>
          <w:rFonts w:ascii="Calibri" w:eastAsia="Calibri" w:hAnsi="Calibri" w:cs="Calibri"/>
          <w:i/>
          <w:iCs/>
          <w:sz w:val="28"/>
          <w:szCs w:val="28"/>
        </w:rPr>
        <w:t>End to End Schema Conversion</w:t>
      </w:r>
    </w:p>
    <w:p w14:paraId="0E003543" w14:textId="6E09CFE5" w:rsidR="58F69DB4" w:rsidRDefault="58F69DB4" w:rsidP="58F69DB4">
      <w:pPr>
        <w:rPr>
          <w:rFonts w:ascii="Calibri" w:eastAsia="Calibri" w:hAnsi="Calibri" w:cs="Calibri"/>
          <w:b/>
          <w:bCs/>
          <w:sz w:val="28"/>
          <w:szCs w:val="28"/>
        </w:rPr>
      </w:pPr>
    </w:p>
    <w:p w14:paraId="3F51F391" w14:textId="2731C2D0" w:rsidR="7C9D2126" w:rsidRDefault="7C9D2126" w:rsidP="7C9D2126">
      <w:pPr>
        <w:rPr>
          <w:rFonts w:ascii="Calibri" w:eastAsia="Calibri" w:hAnsi="Calibri" w:cs="Calibri"/>
          <w:b/>
          <w:bCs/>
          <w:sz w:val="28"/>
          <w:szCs w:val="28"/>
        </w:rPr>
      </w:pPr>
      <w:r w:rsidRPr="7C9D2126">
        <w:rPr>
          <w:rFonts w:ascii="Calibri" w:eastAsia="Calibri" w:hAnsi="Calibri" w:cs="Calibri"/>
          <w:b/>
          <w:bCs/>
          <w:sz w:val="28"/>
          <w:szCs w:val="28"/>
        </w:rPr>
        <w:lastRenderedPageBreak/>
        <w:t>Data Migration Workflow:</w:t>
      </w:r>
    </w:p>
    <w:p w14:paraId="47BBA6A2" w14:textId="0D4A1C97" w:rsidR="7C9D2126" w:rsidRDefault="7C9D2126" w:rsidP="7C9D2126">
      <w:pPr>
        <w:rPr>
          <w:rFonts w:ascii="Calibri" w:eastAsia="Calibri" w:hAnsi="Calibri" w:cs="Calibri"/>
        </w:rPr>
      </w:pPr>
      <w:r w:rsidRPr="7C9D2126">
        <w:rPr>
          <w:rFonts w:ascii="Calibri" w:eastAsia="Calibri" w:hAnsi="Calibri" w:cs="Calibri"/>
        </w:rPr>
        <w:t>Once the compatibility checks are done, the table is created on the target database. After another round of enforcing target table constraints which includes the successful and compatible creation of table on target database, the data migration is triggered which prominently includes the following steps:</w:t>
      </w:r>
    </w:p>
    <w:p w14:paraId="63DD331B" w14:textId="5C79EAC1" w:rsidR="77F9C4A3" w:rsidRDefault="77F9C4A3" w:rsidP="77F9C4A3">
      <w:pPr>
        <w:pStyle w:val="ListParagraph"/>
        <w:numPr>
          <w:ilvl w:val="0"/>
          <w:numId w:val="6"/>
        </w:numPr>
        <w:spacing w:after="0"/>
        <w:rPr>
          <w:rFonts w:ascii="Calibri" w:eastAsia="Calibri" w:hAnsi="Calibri" w:cs="Calibri"/>
          <w:color w:val="000000" w:themeColor="text1"/>
        </w:rPr>
      </w:pPr>
      <w:r w:rsidRPr="77F9C4A3">
        <w:rPr>
          <w:rFonts w:ascii="Calibri" w:eastAsia="Calibri" w:hAnsi="Calibri" w:cs="Calibri"/>
          <w:b/>
          <w:bCs/>
          <w:color w:val="000000" w:themeColor="text1"/>
        </w:rPr>
        <w:t xml:space="preserve">Object creation: </w:t>
      </w:r>
      <w:r w:rsidRPr="77F9C4A3">
        <w:rPr>
          <w:rFonts w:ascii="Calibri" w:eastAsia="Calibri" w:hAnsi="Calibri" w:cs="Calibri"/>
          <w:color w:val="000000" w:themeColor="text1"/>
        </w:rPr>
        <w:t>After schema compatibility checks and successful DDL conversion, Db2 Bridge creates the target tables in Db2. This step ensures that the tables from the source schema are accurately replicated in the target environment, maintaining structural integrity.</w:t>
      </w:r>
    </w:p>
    <w:p w14:paraId="4C733D03" w14:textId="5A8B3305" w:rsidR="77F9C4A3" w:rsidRDefault="77F9C4A3" w:rsidP="77F9C4A3">
      <w:pPr>
        <w:pStyle w:val="ListParagraph"/>
        <w:spacing w:after="0"/>
        <w:rPr>
          <w:rFonts w:ascii="-webkit-standard" w:eastAsia="-webkit-standard" w:hAnsi="-webkit-standard" w:cs="-webkit-standard"/>
          <w:color w:val="000000" w:themeColor="text1"/>
        </w:rPr>
      </w:pPr>
    </w:p>
    <w:p w14:paraId="32F763E6" w14:textId="6ACC5377" w:rsidR="77F9C4A3" w:rsidRDefault="069769C4" w:rsidP="069769C4">
      <w:pPr>
        <w:pStyle w:val="ListParagraph"/>
        <w:numPr>
          <w:ilvl w:val="0"/>
          <w:numId w:val="6"/>
        </w:numPr>
        <w:spacing w:after="0"/>
        <w:rPr>
          <w:rFonts w:ascii="Calibri" w:eastAsia="Calibri" w:hAnsi="Calibri" w:cs="Calibri"/>
          <w:color w:val="000000" w:themeColor="text1"/>
        </w:rPr>
      </w:pPr>
      <w:r w:rsidRPr="069769C4">
        <w:rPr>
          <w:rFonts w:ascii="Calibri" w:eastAsia="Calibri" w:hAnsi="Calibri" w:cs="Calibri"/>
          <w:b/>
          <w:bCs/>
          <w:color w:val="000000" w:themeColor="text1"/>
        </w:rPr>
        <w:t xml:space="preserve">Data Unloading: </w:t>
      </w:r>
      <w:r w:rsidRPr="069769C4">
        <w:rPr>
          <w:rFonts w:ascii="Calibri" w:eastAsia="Calibri" w:hAnsi="Calibri" w:cs="Calibri"/>
          <w:color w:val="000000" w:themeColor="text1"/>
        </w:rPr>
        <w:t>Data from Netezza is extracted using external tables and streamed through Linux pipes. This approach minimizes intermediate storage requirements and accelerates data movement, making it ideal for handling large datasets efficiently.</w:t>
      </w:r>
    </w:p>
    <w:p w14:paraId="1337DEB5" w14:textId="7106BAB5" w:rsidR="77F9C4A3" w:rsidRDefault="77F9C4A3" w:rsidP="069769C4">
      <w:pPr>
        <w:pStyle w:val="ListParagraph"/>
        <w:spacing w:after="0"/>
        <w:ind w:hanging="360"/>
        <w:rPr>
          <w:rFonts w:ascii="Calibri" w:eastAsia="Calibri" w:hAnsi="Calibri" w:cs="Calibri"/>
          <w:color w:val="000000" w:themeColor="text1"/>
        </w:rPr>
      </w:pPr>
    </w:p>
    <w:p w14:paraId="16B04710" w14:textId="1D65DBBD" w:rsidR="77F9C4A3" w:rsidRDefault="069769C4" w:rsidP="069769C4">
      <w:pPr>
        <w:pStyle w:val="ListParagraph"/>
        <w:numPr>
          <w:ilvl w:val="1"/>
          <w:numId w:val="6"/>
        </w:numPr>
        <w:spacing w:after="0"/>
        <w:rPr>
          <w:rFonts w:ascii="Calibri" w:eastAsia="Calibri" w:hAnsi="Calibri" w:cs="Calibri"/>
          <w:color w:val="000000" w:themeColor="text1"/>
        </w:rPr>
      </w:pPr>
      <w:r w:rsidRPr="069769C4">
        <w:rPr>
          <w:rFonts w:ascii="Calibri" w:eastAsia="Calibri" w:hAnsi="Calibri" w:cs="Calibri"/>
          <w:b/>
          <w:bCs/>
          <w:color w:val="000000" w:themeColor="text1"/>
        </w:rPr>
        <w:t>Text-delimited format for migration</w:t>
      </w:r>
      <w:r w:rsidRPr="069769C4">
        <w:rPr>
          <w:rFonts w:ascii="Calibri" w:eastAsia="Calibri" w:hAnsi="Calibri" w:cs="Calibri"/>
          <w:color w:val="000000" w:themeColor="text1"/>
        </w:rPr>
        <w:t>: During migration, Db2 Bridge uses Netezza external tables to unload data in text-delimited format, ensuring compatibility with Db2 loading processes. Fixed-length formats are avoided to maintain consistency.</w:t>
      </w:r>
    </w:p>
    <w:p w14:paraId="03AE3130" w14:textId="08A9F7CB" w:rsidR="77F9C4A3" w:rsidRDefault="77F9C4A3" w:rsidP="069769C4">
      <w:pPr>
        <w:pStyle w:val="ListParagraph"/>
        <w:spacing w:after="0"/>
        <w:ind w:left="1440"/>
        <w:rPr>
          <w:rFonts w:ascii="Calibri" w:eastAsia="Calibri" w:hAnsi="Calibri" w:cs="Calibri"/>
          <w:color w:val="000000" w:themeColor="text1"/>
        </w:rPr>
      </w:pPr>
    </w:p>
    <w:p w14:paraId="3A0E6826" w14:textId="66575D68" w:rsidR="77F9C4A3" w:rsidRDefault="069769C4" w:rsidP="069769C4">
      <w:pPr>
        <w:pStyle w:val="ListParagraph"/>
        <w:numPr>
          <w:ilvl w:val="1"/>
          <w:numId w:val="6"/>
        </w:numPr>
        <w:spacing w:after="0"/>
        <w:rPr>
          <w:rFonts w:ascii="Calibri" w:eastAsia="Calibri" w:hAnsi="Calibri" w:cs="Calibri"/>
          <w:color w:val="000000" w:themeColor="text1"/>
        </w:rPr>
      </w:pPr>
      <w:r w:rsidRPr="069769C4">
        <w:rPr>
          <w:rFonts w:ascii="Calibri" w:eastAsia="Calibri" w:hAnsi="Calibri" w:cs="Calibri"/>
          <w:b/>
          <w:bCs/>
          <w:color w:val="000000" w:themeColor="text1"/>
        </w:rPr>
        <w:t>SQL-driven extraction for automation</w:t>
      </w:r>
      <w:r w:rsidRPr="069769C4">
        <w:rPr>
          <w:rFonts w:ascii="Calibri" w:eastAsia="Calibri" w:hAnsi="Calibri" w:cs="Calibri"/>
          <w:color w:val="000000" w:themeColor="text1"/>
        </w:rPr>
        <w:t xml:space="preserve">: The unload step leverages SQL commands like “INSERT INTO </w:t>
      </w:r>
      <w:proofErr w:type="spellStart"/>
      <w:r w:rsidRPr="069769C4">
        <w:rPr>
          <w:rFonts w:ascii="Calibri" w:eastAsia="Calibri" w:hAnsi="Calibri" w:cs="Calibri"/>
          <w:color w:val="000000" w:themeColor="text1"/>
        </w:rPr>
        <w:t>external_table</w:t>
      </w:r>
      <w:proofErr w:type="spellEnd"/>
      <w:r w:rsidRPr="069769C4">
        <w:rPr>
          <w:rFonts w:ascii="Calibri" w:eastAsia="Calibri" w:hAnsi="Calibri" w:cs="Calibri"/>
          <w:color w:val="000000" w:themeColor="text1"/>
        </w:rPr>
        <w:t xml:space="preserve"> SELECT * FROM </w:t>
      </w:r>
      <w:proofErr w:type="spellStart"/>
      <w:r w:rsidRPr="069769C4">
        <w:rPr>
          <w:rFonts w:ascii="Calibri" w:eastAsia="Calibri" w:hAnsi="Calibri" w:cs="Calibri"/>
          <w:color w:val="000000" w:themeColor="text1"/>
        </w:rPr>
        <w:t>source_table</w:t>
      </w:r>
      <w:proofErr w:type="spellEnd"/>
      <w:r w:rsidRPr="069769C4">
        <w:rPr>
          <w:rFonts w:ascii="Calibri" w:eastAsia="Calibri" w:hAnsi="Calibri" w:cs="Calibri"/>
          <w:color w:val="000000" w:themeColor="text1"/>
        </w:rPr>
        <w:t>”, enabling Db2 Bridge to automate ETL without additional tools.</w:t>
      </w:r>
    </w:p>
    <w:p w14:paraId="6CF08842" w14:textId="09A3CFD7" w:rsidR="77F9C4A3" w:rsidRDefault="77F9C4A3" w:rsidP="069769C4">
      <w:pPr>
        <w:pStyle w:val="ListParagraph"/>
        <w:spacing w:after="0"/>
        <w:ind w:left="1440"/>
        <w:rPr>
          <w:rFonts w:ascii="Calibri" w:eastAsia="Calibri" w:hAnsi="Calibri" w:cs="Calibri"/>
          <w:color w:val="000000" w:themeColor="text1"/>
        </w:rPr>
      </w:pPr>
    </w:p>
    <w:p w14:paraId="795CA8B8" w14:textId="4A2322D5" w:rsidR="77F9C4A3" w:rsidRDefault="069769C4" w:rsidP="069769C4">
      <w:pPr>
        <w:pStyle w:val="ListParagraph"/>
        <w:numPr>
          <w:ilvl w:val="1"/>
          <w:numId w:val="6"/>
        </w:numPr>
        <w:spacing w:after="0"/>
        <w:rPr>
          <w:rFonts w:ascii="Calibri" w:eastAsia="Calibri" w:hAnsi="Calibri" w:cs="Calibri"/>
          <w:color w:val="000000" w:themeColor="text1"/>
        </w:rPr>
      </w:pPr>
      <w:r w:rsidRPr="069769C4">
        <w:rPr>
          <w:rFonts w:ascii="Calibri" w:eastAsia="Calibri" w:hAnsi="Calibri" w:cs="Calibri"/>
          <w:b/>
          <w:bCs/>
          <w:color w:val="000000" w:themeColor="text1"/>
        </w:rPr>
        <w:t>Remote streaming for efficiency</w:t>
      </w:r>
      <w:r w:rsidRPr="069769C4">
        <w:rPr>
          <w:rFonts w:ascii="Calibri" w:eastAsia="Calibri" w:hAnsi="Calibri" w:cs="Calibri"/>
          <w:color w:val="000000" w:themeColor="text1"/>
        </w:rPr>
        <w:t>: By using REMOTESOURCE options (ODBC/JDBC), Db2 Bridge can stream data directly from Netezza to the target environment through Linux pipes, reducing intermediate storage and speeding up migration.</w:t>
      </w:r>
    </w:p>
    <w:p w14:paraId="5293EAD0" w14:textId="21653028" w:rsidR="77F9C4A3" w:rsidRDefault="77F9C4A3" w:rsidP="069769C4">
      <w:pPr>
        <w:pStyle w:val="ListParagraph"/>
        <w:spacing w:after="0"/>
        <w:ind w:hanging="360"/>
        <w:rPr>
          <w:rFonts w:ascii="Calibri" w:eastAsia="Calibri" w:hAnsi="Calibri" w:cs="Calibri"/>
          <w:color w:val="000000" w:themeColor="text1"/>
        </w:rPr>
      </w:pPr>
    </w:p>
    <w:p w14:paraId="295DD937" w14:textId="10FFBDFC" w:rsidR="7C9D2126" w:rsidRDefault="069769C4" w:rsidP="7C9D2126">
      <w:pPr>
        <w:pStyle w:val="ListParagraph"/>
        <w:numPr>
          <w:ilvl w:val="0"/>
          <w:numId w:val="6"/>
        </w:numPr>
        <w:spacing w:after="0"/>
        <w:rPr>
          <w:rFonts w:ascii="Calibri" w:eastAsia="Calibri" w:hAnsi="Calibri" w:cs="Calibri"/>
        </w:rPr>
      </w:pPr>
      <w:r w:rsidRPr="069769C4">
        <w:rPr>
          <w:rFonts w:ascii="Calibri" w:eastAsia="Calibri" w:hAnsi="Calibri" w:cs="Calibri"/>
          <w:b/>
          <w:bCs/>
          <w:color w:val="000000" w:themeColor="text1"/>
        </w:rPr>
        <w:t>Data Loading:</w:t>
      </w:r>
      <w:r w:rsidRPr="069769C4">
        <w:rPr>
          <w:rFonts w:ascii="Calibri" w:eastAsia="Calibri" w:hAnsi="Calibri" w:cs="Calibri"/>
          <w:color w:val="000000" w:themeColor="text1"/>
        </w:rPr>
        <w:t xml:space="preserve"> The unloaded data is ingested into Db2 using the Db2 External Tables command. This method supports parallel loading, ensuring high throughput and reducing migration time, even for multi-terabyte workloads.</w:t>
      </w:r>
    </w:p>
    <w:p w14:paraId="4FFD3EB6" w14:textId="4F2CA196" w:rsidR="77F9C4A3" w:rsidRDefault="77F9C4A3" w:rsidP="069769C4">
      <w:pPr>
        <w:pStyle w:val="ListParagraph"/>
        <w:spacing w:after="0"/>
        <w:ind w:hanging="360"/>
        <w:rPr>
          <w:rFonts w:ascii="Calibri" w:eastAsia="Calibri" w:hAnsi="Calibri" w:cs="Calibri"/>
        </w:rPr>
      </w:pPr>
    </w:p>
    <w:p w14:paraId="54678577" w14:textId="0F03454D" w:rsidR="77F9C4A3" w:rsidRDefault="069769C4" w:rsidP="069769C4">
      <w:pPr>
        <w:pStyle w:val="ListParagraph"/>
        <w:numPr>
          <w:ilvl w:val="1"/>
          <w:numId w:val="6"/>
        </w:numPr>
        <w:spacing w:after="0"/>
        <w:rPr>
          <w:rFonts w:ascii="Calibri" w:eastAsia="Calibri" w:hAnsi="Calibri" w:cs="Calibri"/>
          <w:color w:val="000000" w:themeColor="text1"/>
        </w:rPr>
      </w:pPr>
      <w:r w:rsidRPr="069769C4">
        <w:rPr>
          <w:rFonts w:ascii="Calibri" w:eastAsia="Calibri" w:hAnsi="Calibri" w:cs="Calibri"/>
          <w:b/>
          <w:bCs/>
          <w:color w:val="000000" w:themeColor="text1"/>
        </w:rPr>
        <w:t>Target table creation for external load</w:t>
      </w:r>
      <w:r w:rsidRPr="069769C4">
        <w:rPr>
          <w:rFonts w:ascii="Calibri" w:eastAsia="Calibri" w:hAnsi="Calibri" w:cs="Calibri"/>
          <w:color w:val="000000" w:themeColor="text1"/>
        </w:rPr>
        <w:t>: After schema conversion, Db2 Bridge uses Db2’s external table loading mechanism to ingest data from the unloaded files into Db2 tables, maintaining structural integrity.</w:t>
      </w:r>
    </w:p>
    <w:p w14:paraId="3F9A762A" w14:textId="72CCEE21" w:rsidR="77F9C4A3" w:rsidRDefault="77F9C4A3" w:rsidP="069769C4">
      <w:pPr>
        <w:pStyle w:val="ListParagraph"/>
        <w:spacing w:after="0"/>
        <w:ind w:left="1440"/>
        <w:rPr>
          <w:rFonts w:ascii="Calibri" w:eastAsia="Calibri" w:hAnsi="Calibri" w:cs="Calibri"/>
          <w:color w:val="000000" w:themeColor="text1"/>
        </w:rPr>
      </w:pPr>
    </w:p>
    <w:p w14:paraId="5FE606C2" w14:textId="2AC6582D" w:rsidR="77F9C4A3" w:rsidRDefault="2D0C1849" w:rsidP="069769C4">
      <w:pPr>
        <w:pStyle w:val="ListParagraph"/>
        <w:numPr>
          <w:ilvl w:val="1"/>
          <w:numId w:val="6"/>
        </w:numPr>
        <w:spacing w:after="0"/>
        <w:rPr>
          <w:rFonts w:ascii="Calibri" w:eastAsia="Calibri" w:hAnsi="Calibri" w:cs="Calibri"/>
          <w:color w:val="000000" w:themeColor="text1"/>
        </w:rPr>
      </w:pPr>
      <w:r w:rsidRPr="2D0C1849">
        <w:rPr>
          <w:rFonts w:ascii="Calibri" w:eastAsia="Calibri" w:hAnsi="Calibri" w:cs="Calibri"/>
          <w:b/>
          <w:bCs/>
          <w:color w:val="000000" w:themeColor="text1"/>
        </w:rPr>
        <w:lastRenderedPageBreak/>
        <w:t>Flexible field and encoding options</w:t>
      </w:r>
      <w:r w:rsidRPr="2D0C1849">
        <w:rPr>
          <w:rFonts w:ascii="Calibri" w:eastAsia="Calibri" w:hAnsi="Calibri" w:cs="Calibri"/>
          <w:color w:val="000000" w:themeColor="text1"/>
        </w:rPr>
        <w:t>: Db2 Bridge configures options like DELIMITER, ENCODING and ESCAPECHAR during load to match the source file format from Netezza, ensuring smooth ingestion.</w:t>
      </w:r>
    </w:p>
    <w:p w14:paraId="50E01363" w14:textId="516B49AC" w:rsidR="77F9C4A3" w:rsidRDefault="77F9C4A3" w:rsidP="069769C4">
      <w:pPr>
        <w:pStyle w:val="ListParagraph"/>
        <w:spacing w:after="0"/>
        <w:ind w:left="1440"/>
        <w:rPr>
          <w:rFonts w:ascii="Calibri" w:eastAsia="Calibri" w:hAnsi="Calibri" w:cs="Calibri"/>
          <w:color w:val="000000" w:themeColor="text1"/>
        </w:rPr>
      </w:pPr>
    </w:p>
    <w:p w14:paraId="0A5C6189" w14:textId="7AB75900" w:rsidR="77F9C4A3" w:rsidRDefault="069769C4" w:rsidP="069769C4">
      <w:pPr>
        <w:pStyle w:val="ListParagraph"/>
        <w:numPr>
          <w:ilvl w:val="1"/>
          <w:numId w:val="6"/>
        </w:numPr>
        <w:spacing w:after="0"/>
        <w:rPr>
          <w:rFonts w:ascii="Calibri" w:eastAsia="Calibri" w:hAnsi="Calibri" w:cs="Calibri"/>
          <w:color w:val="000000" w:themeColor="text1"/>
        </w:rPr>
      </w:pPr>
      <w:r w:rsidRPr="069769C4">
        <w:rPr>
          <w:rFonts w:ascii="Calibri" w:eastAsia="Calibri" w:hAnsi="Calibri" w:cs="Calibri"/>
          <w:b/>
          <w:bCs/>
          <w:color w:val="000000" w:themeColor="text1"/>
        </w:rPr>
        <w:t>Character set alignment for consistency</w:t>
      </w:r>
      <w:r w:rsidRPr="069769C4">
        <w:rPr>
          <w:rFonts w:ascii="Calibri" w:eastAsia="Calibri" w:hAnsi="Calibri" w:cs="Calibri"/>
          <w:color w:val="000000" w:themeColor="text1"/>
        </w:rPr>
        <w:t>: For mixed or Unicode data, Db2 Bridge enforces encoding settings (e.g., UTF-8) during load, validating character sets to prevent corruption.</w:t>
      </w:r>
    </w:p>
    <w:p w14:paraId="714CD1B7" w14:textId="692CB997" w:rsidR="069769C4" w:rsidRDefault="069769C4" w:rsidP="069769C4">
      <w:pPr>
        <w:pStyle w:val="ListParagraph"/>
        <w:spacing w:after="0"/>
        <w:ind w:left="1440"/>
        <w:rPr>
          <w:color w:val="000000" w:themeColor="text1"/>
        </w:rPr>
      </w:pPr>
    </w:p>
    <w:p w14:paraId="480F806E" w14:textId="3B2CDD9F" w:rsidR="7C9D2126" w:rsidRDefault="2D0C1849" w:rsidP="58CEE588">
      <w:pPr>
        <w:pStyle w:val="ListParagraph"/>
        <w:numPr>
          <w:ilvl w:val="0"/>
          <w:numId w:val="6"/>
        </w:numPr>
        <w:spacing w:after="0"/>
        <w:rPr>
          <w:rFonts w:ascii="Calibri" w:eastAsia="Calibri" w:hAnsi="Calibri" w:cs="Calibri"/>
          <w:b/>
          <w:bCs/>
          <w:sz w:val="27"/>
          <w:szCs w:val="27"/>
        </w:rPr>
      </w:pPr>
      <w:r w:rsidRPr="2D0C1849">
        <w:rPr>
          <w:rFonts w:ascii="Calibri" w:eastAsia="Calibri" w:hAnsi="Calibri" w:cs="Calibri"/>
          <w:b/>
          <w:bCs/>
          <w:color w:val="000000" w:themeColor="text1"/>
        </w:rPr>
        <w:t>Comprehensive Tracking</w:t>
      </w:r>
      <w:r w:rsidRPr="2D0C1849">
        <w:rPr>
          <w:rFonts w:ascii="Calibri" w:eastAsia="Calibri" w:hAnsi="Calibri" w:cs="Calibri"/>
          <w:color w:val="000000" w:themeColor="text1"/>
        </w:rPr>
        <w:t>: Throughout the migration, Db2 Bridge provides detailed logs and real-time monitoring dashboards. These tools help administrators track progress, validate row counts and quickly troubleshoot any issues that arise during the process.</w:t>
      </w:r>
    </w:p>
    <w:p w14:paraId="6484E829" w14:textId="757A7120" w:rsidR="58F69DB4" w:rsidRDefault="58F69DB4" w:rsidP="58F69DB4">
      <w:pPr>
        <w:spacing w:after="0"/>
        <w:rPr>
          <w:rFonts w:ascii="Calibri" w:eastAsia="Calibri" w:hAnsi="Calibri" w:cs="Calibri"/>
          <w:b/>
          <w:bCs/>
          <w:sz w:val="27"/>
          <w:szCs w:val="27"/>
        </w:rPr>
      </w:pPr>
    </w:p>
    <w:p w14:paraId="705CBF98" w14:textId="17E2371C" w:rsidR="58F69DB4" w:rsidRDefault="58F69DB4" w:rsidP="58F69DB4">
      <w:pPr>
        <w:spacing w:after="0"/>
        <w:rPr>
          <w:rFonts w:ascii="Calibri" w:eastAsia="Calibri" w:hAnsi="Calibri" w:cs="Calibri"/>
          <w:b/>
          <w:bCs/>
          <w:sz w:val="27"/>
          <w:szCs w:val="27"/>
        </w:rPr>
      </w:pPr>
    </w:p>
    <w:p w14:paraId="0D5F988F" w14:textId="2D5391B8" w:rsidR="7220D9A5" w:rsidRDefault="7220D9A5" w:rsidP="58F69DB4">
      <w:pPr>
        <w:spacing w:after="0"/>
        <w:ind w:left="360"/>
        <w:jc w:val="center"/>
        <w:rPr>
          <w:rFonts w:ascii="Calibri" w:eastAsia="Calibri" w:hAnsi="Calibri" w:cs="Calibri"/>
          <w:sz w:val="27"/>
          <w:szCs w:val="27"/>
        </w:rPr>
      </w:pPr>
      <w:r>
        <w:rPr>
          <w:noProof/>
        </w:rPr>
        <w:drawing>
          <wp:inline distT="0" distB="0" distL="0" distR="0" wp14:anchorId="6E50E6A1" wp14:editId="66CDA673">
            <wp:extent cx="4642338" cy="2623931"/>
            <wp:effectExtent l="0" t="0" r="0" b="0"/>
            <wp:docPr id="1799042094" name="Picture 179904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642338" cy="2623931"/>
                    </a:xfrm>
                    <a:prstGeom prst="rect">
                      <a:avLst/>
                    </a:prstGeom>
                  </pic:spPr>
                </pic:pic>
              </a:graphicData>
            </a:graphic>
          </wp:inline>
        </w:drawing>
      </w:r>
    </w:p>
    <w:p w14:paraId="24593C3C" w14:textId="7EDCE63D" w:rsidR="58F69DB4" w:rsidRDefault="58F69DB4" w:rsidP="58F69DB4">
      <w:pPr>
        <w:spacing w:after="0"/>
        <w:ind w:left="360"/>
        <w:rPr>
          <w:rFonts w:ascii="Calibri" w:eastAsia="Calibri" w:hAnsi="Calibri" w:cs="Calibri"/>
          <w:b/>
          <w:bCs/>
          <w:sz w:val="28"/>
          <w:szCs w:val="28"/>
        </w:rPr>
      </w:pPr>
    </w:p>
    <w:p w14:paraId="5710577B" w14:textId="55D89AB7" w:rsidR="069769C4" w:rsidRDefault="72F9BD06" w:rsidP="72F9BD06">
      <w:pPr>
        <w:spacing w:after="0"/>
        <w:ind w:left="360"/>
        <w:jc w:val="center"/>
        <w:rPr>
          <w:rFonts w:ascii="Calibri" w:eastAsia="Calibri" w:hAnsi="Calibri" w:cs="Calibri"/>
          <w:i/>
          <w:iCs/>
          <w:sz w:val="28"/>
          <w:szCs w:val="28"/>
        </w:rPr>
      </w:pPr>
      <w:r w:rsidRPr="72F9BD06">
        <w:rPr>
          <w:rFonts w:ascii="Calibri" w:eastAsia="Calibri" w:hAnsi="Calibri" w:cs="Calibri"/>
          <w:b/>
          <w:bCs/>
          <w:sz w:val="28"/>
          <w:szCs w:val="28"/>
        </w:rPr>
        <w:t xml:space="preserve">Figure 2: </w:t>
      </w:r>
      <w:r w:rsidRPr="72F9BD06">
        <w:rPr>
          <w:rFonts w:ascii="Calibri" w:eastAsia="Calibri" w:hAnsi="Calibri" w:cs="Calibri"/>
          <w:i/>
          <w:iCs/>
          <w:sz w:val="28"/>
          <w:szCs w:val="28"/>
        </w:rPr>
        <w:t>Data Migration Workflow</w:t>
      </w:r>
    </w:p>
    <w:p w14:paraId="0D5B88DC" w14:textId="3564D1E3" w:rsidR="72F9BD06" w:rsidRDefault="72F9BD06" w:rsidP="72F9BD06">
      <w:pPr>
        <w:spacing w:after="0"/>
        <w:ind w:left="360"/>
        <w:jc w:val="center"/>
        <w:rPr>
          <w:rFonts w:ascii="Calibri" w:eastAsia="Calibri" w:hAnsi="Calibri" w:cs="Calibri"/>
          <w:i/>
          <w:iCs/>
          <w:sz w:val="28"/>
          <w:szCs w:val="28"/>
        </w:rPr>
      </w:pPr>
    </w:p>
    <w:p w14:paraId="06B6ABAE" w14:textId="21A3D168" w:rsidR="72F9BD06" w:rsidRDefault="72F9BD06" w:rsidP="72F9BD06">
      <w:pPr>
        <w:spacing w:after="0"/>
        <w:jc w:val="center"/>
        <w:rPr>
          <w:rFonts w:ascii="Calibri" w:eastAsia="Calibri" w:hAnsi="Calibri" w:cs="Calibri"/>
          <w:i/>
          <w:iCs/>
          <w:sz w:val="28"/>
          <w:szCs w:val="28"/>
        </w:rPr>
      </w:pPr>
    </w:p>
    <w:p w14:paraId="2E9B1717" w14:textId="4533C8C6" w:rsidR="72F9BD06" w:rsidRDefault="72F9BD06" w:rsidP="72F9BD06">
      <w:pPr>
        <w:spacing w:after="0"/>
        <w:jc w:val="center"/>
        <w:rPr>
          <w:rFonts w:ascii="Calibri" w:eastAsia="Calibri" w:hAnsi="Calibri" w:cs="Calibri"/>
          <w:i/>
          <w:iCs/>
          <w:sz w:val="28"/>
          <w:szCs w:val="28"/>
        </w:rPr>
      </w:pPr>
    </w:p>
    <w:p w14:paraId="78391593" w14:textId="396BD501" w:rsidR="7C9D2126" w:rsidRDefault="7C9D2126" w:rsidP="58F69DB4">
      <w:pPr>
        <w:spacing w:after="0"/>
        <w:rPr>
          <w:rFonts w:ascii="Calibri" w:eastAsia="Calibri" w:hAnsi="Calibri" w:cs="Calibri"/>
          <w:b/>
          <w:bCs/>
          <w:sz w:val="27"/>
          <w:szCs w:val="27"/>
        </w:rPr>
      </w:pPr>
    </w:p>
    <w:p w14:paraId="4CCAB55A" w14:textId="4A82DC16" w:rsidR="58F69DB4" w:rsidRDefault="58F69DB4" w:rsidP="58F69DB4">
      <w:pPr>
        <w:spacing w:after="0"/>
        <w:rPr>
          <w:rFonts w:ascii="Calibri" w:eastAsia="Calibri" w:hAnsi="Calibri" w:cs="Calibri"/>
          <w:b/>
          <w:bCs/>
          <w:sz w:val="27"/>
          <w:szCs w:val="27"/>
        </w:rPr>
      </w:pPr>
    </w:p>
    <w:p w14:paraId="5BF6A185" w14:textId="42173B53" w:rsidR="7C9D2126" w:rsidRDefault="58CEE588" w:rsidP="58CEE588">
      <w:pPr>
        <w:spacing w:after="0"/>
        <w:rPr>
          <w:rFonts w:ascii="Calibri" w:eastAsia="Calibri" w:hAnsi="Calibri" w:cs="Calibri"/>
          <w:b/>
          <w:bCs/>
          <w:sz w:val="27"/>
          <w:szCs w:val="27"/>
        </w:rPr>
      </w:pPr>
      <w:r w:rsidRPr="58CEE588">
        <w:rPr>
          <w:rFonts w:ascii="Calibri" w:eastAsia="Calibri" w:hAnsi="Calibri" w:cs="Calibri"/>
          <w:b/>
          <w:bCs/>
          <w:sz w:val="27"/>
          <w:szCs w:val="27"/>
        </w:rPr>
        <w:t>Conclusion:</w:t>
      </w:r>
    </w:p>
    <w:p w14:paraId="1F098580" w14:textId="42D70002" w:rsidR="7C9D2126" w:rsidRDefault="2D0C1849" w:rsidP="77F9C4A3">
      <w:pPr>
        <w:spacing w:before="270" w:after="150"/>
        <w:rPr>
          <w:rFonts w:ascii="Calibri" w:eastAsia="Calibri" w:hAnsi="Calibri" w:cs="Calibri"/>
          <w:color w:val="000000" w:themeColor="text1"/>
        </w:rPr>
      </w:pPr>
      <w:r w:rsidRPr="2D0C1849">
        <w:rPr>
          <w:rFonts w:ascii="Calibri" w:eastAsia="Calibri" w:hAnsi="Calibri" w:cs="Calibri"/>
          <w:color w:val="000000" w:themeColor="text1"/>
        </w:rPr>
        <w:t xml:space="preserve">IBM Db2 Bridge is more than a migration tool. </w:t>
      </w:r>
      <w:proofErr w:type="spellStart"/>
      <w:proofErr w:type="gramStart"/>
      <w:r w:rsidRPr="2D0C1849">
        <w:rPr>
          <w:rFonts w:ascii="Calibri" w:eastAsia="Calibri" w:hAnsi="Calibri" w:cs="Calibri"/>
          <w:color w:val="000000" w:themeColor="text1"/>
        </w:rPr>
        <w:t>It</w:t>
      </w:r>
      <w:proofErr w:type="gramEnd"/>
      <w:r w:rsidRPr="2D0C1849">
        <w:rPr>
          <w:rFonts w:ascii="Calibri" w:eastAsia="Calibri" w:hAnsi="Calibri" w:cs="Calibri"/>
          <w:color w:val="000000" w:themeColor="text1"/>
        </w:rPr>
        <w:t xml:space="preserve"> s</w:t>
      </w:r>
      <w:proofErr w:type="spellEnd"/>
      <w:r w:rsidRPr="2D0C1849">
        <w:rPr>
          <w:rFonts w:ascii="Calibri" w:eastAsia="Calibri" w:hAnsi="Calibri" w:cs="Calibri"/>
          <w:color w:val="000000" w:themeColor="text1"/>
        </w:rPr>
        <w:t xml:space="preserve"> a modernization enabler. With advanced features like automated schema discovery, intelligent DDL conversion via jar files and high-</w:t>
      </w:r>
      <w:r w:rsidRPr="2D0C1849">
        <w:rPr>
          <w:rFonts w:ascii="Calibri" w:eastAsia="Calibri" w:hAnsi="Calibri" w:cs="Calibri"/>
          <w:color w:val="000000" w:themeColor="text1"/>
        </w:rPr>
        <w:lastRenderedPageBreak/>
        <w:t>speed data transfer using Linux pipes, it transforms the complex Netezza-to-Db2 migration into a streamlined, error-free process. Real-time logging, compatibility validation and cloud-ready architecture ensure scalability and resilience for enterprises moving toward hybrid and AI-driven environments. By combining automation with performance optimization, Db2 Bridge delivers a future-proof solution for organizations seeking agility and innovation.</w:t>
      </w:r>
    </w:p>
    <w:p w14:paraId="32D4F826" w14:textId="67D9B449" w:rsidR="77F9C4A3" w:rsidRDefault="77F9C4A3" w:rsidP="77F9C4A3">
      <w:pPr>
        <w:rPr>
          <w:rFonts w:ascii="Calibri" w:eastAsia="Calibri" w:hAnsi="Calibri" w:cs="Calibri"/>
          <w:color w:val="000000" w:themeColor="text1"/>
        </w:rPr>
      </w:pPr>
    </w:p>
    <w:p w14:paraId="44371F13" w14:textId="20C886C4" w:rsidR="58CEE588" w:rsidRDefault="58CEE588" w:rsidP="58CEE588">
      <w:pPr>
        <w:rPr>
          <w:rFonts w:ascii="Calibri" w:eastAsia="Calibri" w:hAnsi="Calibri" w:cs="Calibri"/>
          <w:b/>
          <w:bCs/>
          <w:sz w:val="27"/>
          <w:szCs w:val="27"/>
        </w:rPr>
      </w:pPr>
      <w:r w:rsidRPr="58CEE588">
        <w:rPr>
          <w:rFonts w:ascii="Calibri" w:eastAsia="Calibri" w:hAnsi="Calibri" w:cs="Calibri"/>
          <w:b/>
          <w:bCs/>
          <w:sz w:val="27"/>
          <w:szCs w:val="27"/>
        </w:rPr>
        <w:t>About the authors:</w:t>
      </w:r>
    </w:p>
    <w:p w14:paraId="65C57497" w14:textId="5A0CE71D" w:rsidR="58CEE588" w:rsidRDefault="58CEE588" w:rsidP="58CEE588">
      <w:pPr>
        <w:spacing w:before="270" w:after="270" w:line="276" w:lineRule="auto"/>
        <w:rPr>
          <w:rFonts w:ascii="Calibri" w:eastAsia="Calibri" w:hAnsi="Calibri" w:cs="Calibri"/>
          <w:color w:val="0F62FE"/>
        </w:rPr>
      </w:pPr>
      <w:r w:rsidRPr="58CEE588">
        <w:rPr>
          <w:rFonts w:ascii="Calibri" w:eastAsia="Calibri" w:hAnsi="Calibri" w:cs="Calibri"/>
          <w:color w:val="000000" w:themeColor="text1"/>
        </w:rPr>
        <w:t xml:space="preserve">Sakshi Khokhar is a Software Developer at IBM India Software Lab, with experience of working with databases and cloud technologies. She holds a </w:t>
      </w:r>
      <w:proofErr w:type="gramStart"/>
      <w:r w:rsidRPr="58CEE588">
        <w:rPr>
          <w:rFonts w:ascii="Calibri" w:eastAsia="Calibri" w:hAnsi="Calibri" w:cs="Calibri"/>
          <w:color w:val="000000" w:themeColor="text1"/>
        </w:rPr>
        <w:t>Bachelor’s in Information Technology</w:t>
      </w:r>
      <w:proofErr w:type="gramEnd"/>
      <w:r w:rsidRPr="58CEE588">
        <w:rPr>
          <w:rFonts w:ascii="Calibri" w:eastAsia="Calibri" w:hAnsi="Calibri" w:cs="Calibri"/>
          <w:color w:val="000000" w:themeColor="text1"/>
        </w:rPr>
        <w:t xml:space="preserve"> from the Indian Institute of Information Technology, Allahabad. Sakshi can be reached at </w:t>
      </w:r>
      <w:r w:rsidRPr="58CEE588">
        <w:rPr>
          <w:rFonts w:ascii="Calibri" w:eastAsia="Calibri" w:hAnsi="Calibri" w:cs="Calibri"/>
          <w:color w:val="0F62FE"/>
          <w:u w:val="single"/>
        </w:rPr>
        <w:t>Sakshi.Khokhar1@ibm.com</w:t>
      </w:r>
    </w:p>
    <w:p w14:paraId="741E76D8" w14:textId="60450286" w:rsidR="467D5E43" w:rsidRDefault="15269A06" w:rsidP="069769C4">
      <w:pPr>
        <w:spacing w:before="270" w:after="150"/>
      </w:pPr>
      <w:r w:rsidRPr="15269A06">
        <w:rPr>
          <w:rFonts w:ascii="Calibri" w:eastAsia="Calibri" w:hAnsi="Calibri" w:cs="Calibri"/>
          <w:color w:val="000000" w:themeColor="text1"/>
        </w:rPr>
        <w:t xml:space="preserve">Sairaman K is a Software Developer and technical lead for IBM Db2 Bridge at the IBM India Software Lab, with over 6 years of experience in Databases, Kubernetes and Cloud services. He holds a </w:t>
      </w:r>
      <w:proofErr w:type="gramStart"/>
      <w:r w:rsidRPr="15269A06">
        <w:rPr>
          <w:rFonts w:ascii="Calibri" w:eastAsia="Calibri" w:hAnsi="Calibri" w:cs="Calibri"/>
          <w:color w:val="000000" w:themeColor="text1"/>
        </w:rPr>
        <w:t>Bachelor’s in Computer Science</w:t>
      </w:r>
      <w:proofErr w:type="gramEnd"/>
      <w:r w:rsidRPr="15269A06">
        <w:rPr>
          <w:rFonts w:ascii="Calibri" w:eastAsia="Calibri" w:hAnsi="Calibri" w:cs="Calibri"/>
          <w:color w:val="000000" w:themeColor="text1"/>
        </w:rPr>
        <w:t xml:space="preserve"> from the </w:t>
      </w:r>
      <w:proofErr w:type="spellStart"/>
      <w:r w:rsidRPr="15269A06">
        <w:rPr>
          <w:rFonts w:ascii="Calibri" w:eastAsia="Calibri" w:hAnsi="Calibri" w:cs="Calibri"/>
          <w:color w:val="000000" w:themeColor="text1"/>
        </w:rPr>
        <w:t>Thiagarajar</w:t>
      </w:r>
      <w:proofErr w:type="spellEnd"/>
      <w:r w:rsidRPr="15269A06">
        <w:rPr>
          <w:rFonts w:ascii="Calibri" w:eastAsia="Calibri" w:hAnsi="Calibri" w:cs="Calibri"/>
          <w:color w:val="000000" w:themeColor="text1"/>
        </w:rPr>
        <w:t xml:space="preserve"> college of Engineering, Madurai. Sairaman can be reached at </w:t>
      </w:r>
      <w:hyperlink r:id="rId9">
        <w:r w:rsidRPr="15269A06">
          <w:rPr>
            <w:rStyle w:val="Hyperlink"/>
            <w:rFonts w:ascii="Calibri" w:eastAsia="Calibri" w:hAnsi="Calibri" w:cs="Calibri"/>
            <w:color w:val="0F62FE"/>
          </w:rPr>
          <w:t>sairamank@in.ibm.com</w:t>
        </w:r>
      </w:hyperlink>
    </w:p>
    <w:sectPr w:rsidR="467D5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w8BPEoVjEib9MQ" int2:id="XyWqt8a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DD7A"/>
    <w:multiLevelType w:val="hybridMultilevel"/>
    <w:tmpl w:val="60B6B7A0"/>
    <w:lvl w:ilvl="0" w:tplc="04429E8E">
      <w:start w:val="1"/>
      <w:numFmt w:val="bullet"/>
      <w:lvlText w:val=""/>
      <w:lvlJc w:val="left"/>
      <w:pPr>
        <w:ind w:left="720" w:hanging="360"/>
      </w:pPr>
      <w:rPr>
        <w:rFonts w:ascii="Symbol" w:hAnsi="Symbol" w:hint="default"/>
      </w:rPr>
    </w:lvl>
    <w:lvl w:ilvl="1" w:tplc="3DCAEE44">
      <w:start w:val="1"/>
      <w:numFmt w:val="bullet"/>
      <w:lvlText w:val="o"/>
      <w:lvlJc w:val="left"/>
      <w:pPr>
        <w:ind w:left="1440" w:hanging="360"/>
      </w:pPr>
      <w:rPr>
        <w:rFonts w:ascii="Courier New" w:hAnsi="Courier New" w:hint="default"/>
      </w:rPr>
    </w:lvl>
    <w:lvl w:ilvl="2" w:tplc="3DC40B8C">
      <w:start w:val="1"/>
      <w:numFmt w:val="bullet"/>
      <w:lvlText w:val=""/>
      <w:lvlJc w:val="left"/>
      <w:pPr>
        <w:ind w:left="2160" w:hanging="360"/>
      </w:pPr>
      <w:rPr>
        <w:rFonts w:ascii="Wingdings" w:hAnsi="Wingdings" w:hint="default"/>
      </w:rPr>
    </w:lvl>
    <w:lvl w:ilvl="3" w:tplc="59F81540">
      <w:start w:val="1"/>
      <w:numFmt w:val="bullet"/>
      <w:lvlText w:val=""/>
      <w:lvlJc w:val="left"/>
      <w:pPr>
        <w:ind w:left="2880" w:hanging="360"/>
      </w:pPr>
      <w:rPr>
        <w:rFonts w:ascii="Symbol" w:hAnsi="Symbol" w:hint="default"/>
      </w:rPr>
    </w:lvl>
    <w:lvl w:ilvl="4" w:tplc="B3682EB6">
      <w:start w:val="1"/>
      <w:numFmt w:val="bullet"/>
      <w:lvlText w:val="o"/>
      <w:lvlJc w:val="left"/>
      <w:pPr>
        <w:ind w:left="3600" w:hanging="360"/>
      </w:pPr>
      <w:rPr>
        <w:rFonts w:ascii="Courier New" w:hAnsi="Courier New" w:hint="default"/>
      </w:rPr>
    </w:lvl>
    <w:lvl w:ilvl="5" w:tplc="4D0894B0">
      <w:start w:val="1"/>
      <w:numFmt w:val="bullet"/>
      <w:lvlText w:val=""/>
      <w:lvlJc w:val="left"/>
      <w:pPr>
        <w:ind w:left="4320" w:hanging="360"/>
      </w:pPr>
      <w:rPr>
        <w:rFonts w:ascii="Wingdings" w:hAnsi="Wingdings" w:hint="default"/>
      </w:rPr>
    </w:lvl>
    <w:lvl w:ilvl="6" w:tplc="CBB69CF4">
      <w:start w:val="1"/>
      <w:numFmt w:val="bullet"/>
      <w:lvlText w:val=""/>
      <w:lvlJc w:val="left"/>
      <w:pPr>
        <w:ind w:left="5040" w:hanging="360"/>
      </w:pPr>
      <w:rPr>
        <w:rFonts w:ascii="Symbol" w:hAnsi="Symbol" w:hint="default"/>
      </w:rPr>
    </w:lvl>
    <w:lvl w:ilvl="7" w:tplc="EA36AD9C">
      <w:start w:val="1"/>
      <w:numFmt w:val="bullet"/>
      <w:lvlText w:val="o"/>
      <w:lvlJc w:val="left"/>
      <w:pPr>
        <w:ind w:left="5760" w:hanging="360"/>
      </w:pPr>
      <w:rPr>
        <w:rFonts w:ascii="Courier New" w:hAnsi="Courier New" w:hint="default"/>
      </w:rPr>
    </w:lvl>
    <w:lvl w:ilvl="8" w:tplc="A5E035DA">
      <w:start w:val="1"/>
      <w:numFmt w:val="bullet"/>
      <w:lvlText w:val=""/>
      <w:lvlJc w:val="left"/>
      <w:pPr>
        <w:ind w:left="6480" w:hanging="360"/>
      </w:pPr>
      <w:rPr>
        <w:rFonts w:ascii="Wingdings" w:hAnsi="Wingdings" w:hint="default"/>
      </w:rPr>
    </w:lvl>
  </w:abstractNum>
  <w:abstractNum w:abstractNumId="1" w15:restartNumberingAfterBreak="0">
    <w:nsid w:val="148D2A0A"/>
    <w:multiLevelType w:val="hybridMultilevel"/>
    <w:tmpl w:val="4B427718"/>
    <w:lvl w:ilvl="0" w:tplc="5A921790">
      <w:start w:val="1"/>
      <w:numFmt w:val="bullet"/>
      <w:lvlText w:val=""/>
      <w:lvlJc w:val="left"/>
      <w:pPr>
        <w:ind w:left="720" w:hanging="360"/>
      </w:pPr>
      <w:rPr>
        <w:rFonts w:ascii="Symbol" w:hAnsi="Symbol" w:hint="default"/>
      </w:rPr>
    </w:lvl>
    <w:lvl w:ilvl="1" w:tplc="78BA1CBA">
      <w:start w:val="1"/>
      <w:numFmt w:val="bullet"/>
      <w:lvlText w:val="o"/>
      <w:lvlJc w:val="left"/>
      <w:pPr>
        <w:ind w:left="1440" w:hanging="360"/>
      </w:pPr>
      <w:rPr>
        <w:rFonts w:ascii="Courier New" w:hAnsi="Courier New" w:hint="default"/>
      </w:rPr>
    </w:lvl>
    <w:lvl w:ilvl="2" w:tplc="8C82D2D2">
      <w:start w:val="1"/>
      <w:numFmt w:val="bullet"/>
      <w:lvlText w:val=""/>
      <w:lvlJc w:val="left"/>
      <w:pPr>
        <w:ind w:left="2160" w:hanging="360"/>
      </w:pPr>
      <w:rPr>
        <w:rFonts w:ascii="Wingdings" w:hAnsi="Wingdings" w:hint="default"/>
      </w:rPr>
    </w:lvl>
    <w:lvl w:ilvl="3" w:tplc="6122ED82">
      <w:start w:val="1"/>
      <w:numFmt w:val="bullet"/>
      <w:lvlText w:val=""/>
      <w:lvlJc w:val="left"/>
      <w:pPr>
        <w:ind w:left="2880" w:hanging="360"/>
      </w:pPr>
      <w:rPr>
        <w:rFonts w:ascii="Symbol" w:hAnsi="Symbol" w:hint="default"/>
      </w:rPr>
    </w:lvl>
    <w:lvl w:ilvl="4" w:tplc="32E02E5E">
      <w:start w:val="1"/>
      <w:numFmt w:val="bullet"/>
      <w:lvlText w:val="o"/>
      <w:lvlJc w:val="left"/>
      <w:pPr>
        <w:ind w:left="3600" w:hanging="360"/>
      </w:pPr>
      <w:rPr>
        <w:rFonts w:ascii="Courier New" w:hAnsi="Courier New" w:hint="default"/>
      </w:rPr>
    </w:lvl>
    <w:lvl w:ilvl="5" w:tplc="568A4D22">
      <w:start w:val="1"/>
      <w:numFmt w:val="bullet"/>
      <w:lvlText w:val=""/>
      <w:lvlJc w:val="left"/>
      <w:pPr>
        <w:ind w:left="4320" w:hanging="360"/>
      </w:pPr>
      <w:rPr>
        <w:rFonts w:ascii="Wingdings" w:hAnsi="Wingdings" w:hint="default"/>
      </w:rPr>
    </w:lvl>
    <w:lvl w:ilvl="6" w:tplc="81B44EA2">
      <w:start w:val="1"/>
      <w:numFmt w:val="bullet"/>
      <w:lvlText w:val=""/>
      <w:lvlJc w:val="left"/>
      <w:pPr>
        <w:ind w:left="5040" w:hanging="360"/>
      </w:pPr>
      <w:rPr>
        <w:rFonts w:ascii="Symbol" w:hAnsi="Symbol" w:hint="default"/>
      </w:rPr>
    </w:lvl>
    <w:lvl w:ilvl="7" w:tplc="0ADE5C52">
      <w:start w:val="1"/>
      <w:numFmt w:val="bullet"/>
      <w:lvlText w:val="o"/>
      <w:lvlJc w:val="left"/>
      <w:pPr>
        <w:ind w:left="5760" w:hanging="360"/>
      </w:pPr>
      <w:rPr>
        <w:rFonts w:ascii="Courier New" w:hAnsi="Courier New" w:hint="default"/>
      </w:rPr>
    </w:lvl>
    <w:lvl w:ilvl="8" w:tplc="1AA21FDA">
      <w:start w:val="1"/>
      <w:numFmt w:val="bullet"/>
      <w:lvlText w:val=""/>
      <w:lvlJc w:val="left"/>
      <w:pPr>
        <w:ind w:left="6480" w:hanging="360"/>
      </w:pPr>
      <w:rPr>
        <w:rFonts w:ascii="Wingdings" w:hAnsi="Wingdings" w:hint="default"/>
      </w:rPr>
    </w:lvl>
  </w:abstractNum>
  <w:abstractNum w:abstractNumId="2" w15:restartNumberingAfterBreak="0">
    <w:nsid w:val="1B1F107B"/>
    <w:multiLevelType w:val="hybridMultilevel"/>
    <w:tmpl w:val="9C4ED756"/>
    <w:lvl w:ilvl="0" w:tplc="B40814F2">
      <w:start w:val="1"/>
      <w:numFmt w:val="bullet"/>
      <w:lvlText w:val=""/>
      <w:lvlJc w:val="left"/>
      <w:pPr>
        <w:ind w:left="720" w:hanging="360"/>
      </w:pPr>
      <w:rPr>
        <w:rFonts w:ascii="Symbol" w:hAnsi="Symbol" w:hint="default"/>
      </w:rPr>
    </w:lvl>
    <w:lvl w:ilvl="1" w:tplc="F3DE564E">
      <w:start w:val="1"/>
      <w:numFmt w:val="bullet"/>
      <w:lvlText w:val="o"/>
      <w:lvlJc w:val="left"/>
      <w:pPr>
        <w:ind w:left="1440" w:hanging="360"/>
      </w:pPr>
      <w:rPr>
        <w:rFonts w:ascii="Courier New" w:hAnsi="Courier New" w:hint="default"/>
      </w:rPr>
    </w:lvl>
    <w:lvl w:ilvl="2" w:tplc="799CE3B2">
      <w:start w:val="1"/>
      <w:numFmt w:val="bullet"/>
      <w:lvlText w:val=""/>
      <w:lvlJc w:val="left"/>
      <w:pPr>
        <w:ind w:left="2160" w:hanging="360"/>
      </w:pPr>
      <w:rPr>
        <w:rFonts w:ascii="Wingdings" w:hAnsi="Wingdings" w:hint="default"/>
      </w:rPr>
    </w:lvl>
    <w:lvl w:ilvl="3" w:tplc="D348EC86">
      <w:start w:val="1"/>
      <w:numFmt w:val="bullet"/>
      <w:lvlText w:val=""/>
      <w:lvlJc w:val="left"/>
      <w:pPr>
        <w:ind w:left="2880" w:hanging="360"/>
      </w:pPr>
      <w:rPr>
        <w:rFonts w:ascii="Symbol" w:hAnsi="Symbol" w:hint="default"/>
      </w:rPr>
    </w:lvl>
    <w:lvl w:ilvl="4" w:tplc="7402CBBE">
      <w:start w:val="1"/>
      <w:numFmt w:val="bullet"/>
      <w:lvlText w:val="o"/>
      <w:lvlJc w:val="left"/>
      <w:pPr>
        <w:ind w:left="3600" w:hanging="360"/>
      </w:pPr>
      <w:rPr>
        <w:rFonts w:ascii="Courier New" w:hAnsi="Courier New" w:hint="default"/>
      </w:rPr>
    </w:lvl>
    <w:lvl w:ilvl="5" w:tplc="CF50A744">
      <w:start w:val="1"/>
      <w:numFmt w:val="bullet"/>
      <w:lvlText w:val=""/>
      <w:lvlJc w:val="left"/>
      <w:pPr>
        <w:ind w:left="4320" w:hanging="360"/>
      </w:pPr>
      <w:rPr>
        <w:rFonts w:ascii="Wingdings" w:hAnsi="Wingdings" w:hint="default"/>
      </w:rPr>
    </w:lvl>
    <w:lvl w:ilvl="6" w:tplc="69622B36">
      <w:start w:val="1"/>
      <w:numFmt w:val="bullet"/>
      <w:lvlText w:val=""/>
      <w:lvlJc w:val="left"/>
      <w:pPr>
        <w:ind w:left="5040" w:hanging="360"/>
      </w:pPr>
      <w:rPr>
        <w:rFonts w:ascii="Symbol" w:hAnsi="Symbol" w:hint="default"/>
      </w:rPr>
    </w:lvl>
    <w:lvl w:ilvl="7" w:tplc="1AACB86C">
      <w:start w:val="1"/>
      <w:numFmt w:val="bullet"/>
      <w:lvlText w:val="o"/>
      <w:lvlJc w:val="left"/>
      <w:pPr>
        <w:ind w:left="5760" w:hanging="360"/>
      </w:pPr>
      <w:rPr>
        <w:rFonts w:ascii="Courier New" w:hAnsi="Courier New" w:hint="default"/>
      </w:rPr>
    </w:lvl>
    <w:lvl w:ilvl="8" w:tplc="B21EDA0C">
      <w:start w:val="1"/>
      <w:numFmt w:val="bullet"/>
      <w:lvlText w:val=""/>
      <w:lvlJc w:val="left"/>
      <w:pPr>
        <w:ind w:left="6480" w:hanging="360"/>
      </w:pPr>
      <w:rPr>
        <w:rFonts w:ascii="Wingdings" w:hAnsi="Wingdings" w:hint="default"/>
      </w:rPr>
    </w:lvl>
  </w:abstractNum>
  <w:abstractNum w:abstractNumId="3" w15:restartNumberingAfterBreak="0">
    <w:nsid w:val="1DE7F942"/>
    <w:multiLevelType w:val="hybridMultilevel"/>
    <w:tmpl w:val="DD1E8624"/>
    <w:lvl w:ilvl="0" w:tplc="9A542F3A">
      <w:start w:val="1"/>
      <w:numFmt w:val="bullet"/>
      <w:lvlText w:val=""/>
      <w:lvlJc w:val="left"/>
      <w:pPr>
        <w:ind w:left="720" w:hanging="360"/>
      </w:pPr>
      <w:rPr>
        <w:rFonts w:ascii="Symbol" w:hAnsi="Symbol" w:hint="default"/>
      </w:rPr>
    </w:lvl>
    <w:lvl w:ilvl="1" w:tplc="53A42894">
      <w:start w:val="1"/>
      <w:numFmt w:val="bullet"/>
      <w:lvlText w:val="o"/>
      <w:lvlJc w:val="left"/>
      <w:pPr>
        <w:ind w:left="1440" w:hanging="360"/>
      </w:pPr>
      <w:rPr>
        <w:rFonts w:ascii="Courier New" w:hAnsi="Courier New" w:hint="default"/>
      </w:rPr>
    </w:lvl>
    <w:lvl w:ilvl="2" w:tplc="391EA3CE">
      <w:start w:val="1"/>
      <w:numFmt w:val="bullet"/>
      <w:lvlText w:val=""/>
      <w:lvlJc w:val="left"/>
      <w:pPr>
        <w:ind w:left="2160" w:hanging="360"/>
      </w:pPr>
      <w:rPr>
        <w:rFonts w:ascii="Wingdings" w:hAnsi="Wingdings" w:hint="default"/>
      </w:rPr>
    </w:lvl>
    <w:lvl w:ilvl="3" w:tplc="A5C03F8E">
      <w:start w:val="1"/>
      <w:numFmt w:val="bullet"/>
      <w:lvlText w:val=""/>
      <w:lvlJc w:val="left"/>
      <w:pPr>
        <w:ind w:left="2880" w:hanging="360"/>
      </w:pPr>
      <w:rPr>
        <w:rFonts w:ascii="Symbol" w:hAnsi="Symbol" w:hint="default"/>
      </w:rPr>
    </w:lvl>
    <w:lvl w:ilvl="4" w:tplc="AA5896E0">
      <w:start w:val="1"/>
      <w:numFmt w:val="bullet"/>
      <w:lvlText w:val="o"/>
      <w:lvlJc w:val="left"/>
      <w:pPr>
        <w:ind w:left="3600" w:hanging="360"/>
      </w:pPr>
      <w:rPr>
        <w:rFonts w:ascii="Courier New" w:hAnsi="Courier New" w:hint="default"/>
      </w:rPr>
    </w:lvl>
    <w:lvl w:ilvl="5" w:tplc="B3AA0116">
      <w:start w:val="1"/>
      <w:numFmt w:val="bullet"/>
      <w:lvlText w:val=""/>
      <w:lvlJc w:val="left"/>
      <w:pPr>
        <w:ind w:left="4320" w:hanging="360"/>
      </w:pPr>
      <w:rPr>
        <w:rFonts w:ascii="Wingdings" w:hAnsi="Wingdings" w:hint="default"/>
      </w:rPr>
    </w:lvl>
    <w:lvl w:ilvl="6" w:tplc="F2A8DC4C">
      <w:start w:val="1"/>
      <w:numFmt w:val="bullet"/>
      <w:lvlText w:val=""/>
      <w:lvlJc w:val="left"/>
      <w:pPr>
        <w:ind w:left="5040" w:hanging="360"/>
      </w:pPr>
      <w:rPr>
        <w:rFonts w:ascii="Symbol" w:hAnsi="Symbol" w:hint="default"/>
      </w:rPr>
    </w:lvl>
    <w:lvl w:ilvl="7" w:tplc="D26C0ADC">
      <w:start w:val="1"/>
      <w:numFmt w:val="bullet"/>
      <w:lvlText w:val="o"/>
      <w:lvlJc w:val="left"/>
      <w:pPr>
        <w:ind w:left="5760" w:hanging="360"/>
      </w:pPr>
      <w:rPr>
        <w:rFonts w:ascii="Courier New" w:hAnsi="Courier New" w:hint="default"/>
      </w:rPr>
    </w:lvl>
    <w:lvl w:ilvl="8" w:tplc="1D383D9E">
      <w:start w:val="1"/>
      <w:numFmt w:val="bullet"/>
      <w:lvlText w:val=""/>
      <w:lvlJc w:val="left"/>
      <w:pPr>
        <w:ind w:left="6480" w:hanging="360"/>
      </w:pPr>
      <w:rPr>
        <w:rFonts w:ascii="Wingdings" w:hAnsi="Wingdings" w:hint="default"/>
      </w:rPr>
    </w:lvl>
  </w:abstractNum>
  <w:abstractNum w:abstractNumId="4" w15:restartNumberingAfterBreak="0">
    <w:nsid w:val="39DA9898"/>
    <w:multiLevelType w:val="hybridMultilevel"/>
    <w:tmpl w:val="B97EA356"/>
    <w:lvl w:ilvl="0" w:tplc="97E6CEB0">
      <w:start w:val="1"/>
      <w:numFmt w:val="bullet"/>
      <w:lvlText w:val=""/>
      <w:lvlJc w:val="left"/>
      <w:pPr>
        <w:ind w:left="720" w:hanging="360"/>
      </w:pPr>
      <w:rPr>
        <w:rFonts w:ascii="Symbol" w:hAnsi="Symbol" w:hint="default"/>
      </w:rPr>
    </w:lvl>
    <w:lvl w:ilvl="1" w:tplc="F3EC2654">
      <w:start w:val="1"/>
      <w:numFmt w:val="bullet"/>
      <w:lvlText w:val="o"/>
      <w:lvlJc w:val="left"/>
      <w:pPr>
        <w:ind w:left="1440" w:hanging="360"/>
      </w:pPr>
      <w:rPr>
        <w:rFonts w:ascii="Courier New" w:hAnsi="Courier New" w:hint="default"/>
      </w:rPr>
    </w:lvl>
    <w:lvl w:ilvl="2" w:tplc="C50AAF86">
      <w:start w:val="1"/>
      <w:numFmt w:val="bullet"/>
      <w:lvlText w:val=""/>
      <w:lvlJc w:val="left"/>
      <w:pPr>
        <w:ind w:left="2160" w:hanging="360"/>
      </w:pPr>
      <w:rPr>
        <w:rFonts w:ascii="Wingdings" w:hAnsi="Wingdings" w:hint="default"/>
      </w:rPr>
    </w:lvl>
    <w:lvl w:ilvl="3" w:tplc="5898515E">
      <w:start w:val="1"/>
      <w:numFmt w:val="bullet"/>
      <w:lvlText w:val=""/>
      <w:lvlJc w:val="left"/>
      <w:pPr>
        <w:ind w:left="2880" w:hanging="360"/>
      </w:pPr>
      <w:rPr>
        <w:rFonts w:ascii="Symbol" w:hAnsi="Symbol" w:hint="default"/>
      </w:rPr>
    </w:lvl>
    <w:lvl w:ilvl="4" w:tplc="112654DC">
      <w:start w:val="1"/>
      <w:numFmt w:val="bullet"/>
      <w:lvlText w:val="o"/>
      <w:lvlJc w:val="left"/>
      <w:pPr>
        <w:ind w:left="3600" w:hanging="360"/>
      </w:pPr>
      <w:rPr>
        <w:rFonts w:ascii="Courier New" w:hAnsi="Courier New" w:hint="default"/>
      </w:rPr>
    </w:lvl>
    <w:lvl w:ilvl="5" w:tplc="FECC8248">
      <w:start w:val="1"/>
      <w:numFmt w:val="bullet"/>
      <w:lvlText w:val=""/>
      <w:lvlJc w:val="left"/>
      <w:pPr>
        <w:ind w:left="4320" w:hanging="360"/>
      </w:pPr>
      <w:rPr>
        <w:rFonts w:ascii="Wingdings" w:hAnsi="Wingdings" w:hint="default"/>
      </w:rPr>
    </w:lvl>
    <w:lvl w:ilvl="6" w:tplc="A5542E24">
      <w:start w:val="1"/>
      <w:numFmt w:val="bullet"/>
      <w:lvlText w:val=""/>
      <w:lvlJc w:val="left"/>
      <w:pPr>
        <w:ind w:left="5040" w:hanging="360"/>
      </w:pPr>
      <w:rPr>
        <w:rFonts w:ascii="Symbol" w:hAnsi="Symbol" w:hint="default"/>
      </w:rPr>
    </w:lvl>
    <w:lvl w:ilvl="7" w:tplc="8FC27A72">
      <w:start w:val="1"/>
      <w:numFmt w:val="bullet"/>
      <w:lvlText w:val="o"/>
      <w:lvlJc w:val="left"/>
      <w:pPr>
        <w:ind w:left="5760" w:hanging="360"/>
      </w:pPr>
      <w:rPr>
        <w:rFonts w:ascii="Courier New" w:hAnsi="Courier New" w:hint="default"/>
      </w:rPr>
    </w:lvl>
    <w:lvl w:ilvl="8" w:tplc="FB92A8EC">
      <w:start w:val="1"/>
      <w:numFmt w:val="bullet"/>
      <w:lvlText w:val=""/>
      <w:lvlJc w:val="left"/>
      <w:pPr>
        <w:ind w:left="6480" w:hanging="360"/>
      </w:pPr>
      <w:rPr>
        <w:rFonts w:ascii="Wingdings" w:hAnsi="Wingdings" w:hint="default"/>
      </w:rPr>
    </w:lvl>
  </w:abstractNum>
  <w:abstractNum w:abstractNumId="5" w15:restartNumberingAfterBreak="0">
    <w:nsid w:val="3A04C08E"/>
    <w:multiLevelType w:val="hybridMultilevel"/>
    <w:tmpl w:val="B338FC40"/>
    <w:lvl w:ilvl="0" w:tplc="DD5CC712">
      <w:start w:val="1"/>
      <w:numFmt w:val="decimal"/>
      <w:lvlText w:val="%1."/>
      <w:lvlJc w:val="left"/>
      <w:pPr>
        <w:ind w:left="720" w:hanging="360"/>
      </w:pPr>
    </w:lvl>
    <w:lvl w:ilvl="1" w:tplc="A692CD20">
      <w:start w:val="1"/>
      <w:numFmt w:val="lowerLetter"/>
      <w:lvlText w:val="%2."/>
      <w:lvlJc w:val="left"/>
      <w:pPr>
        <w:ind w:left="1440" w:hanging="360"/>
      </w:pPr>
    </w:lvl>
    <w:lvl w:ilvl="2" w:tplc="F9CCCD8E">
      <w:start w:val="1"/>
      <w:numFmt w:val="lowerRoman"/>
      <w:lvlText w:val="%3."/>
      <w:lvlJc w:val="right"/>
      <w:pPr>
        <w:ind w:left="2160" w:hanging="180"/>
      </w:pPr>
    </w:lvl>
    <w:lvl w:ilvl="3" w:tplc="5A90B612">
      <w:start w:val="1"/>
      <w:numFmt w:val="decimal"/>
      <w:lvlText w:val="%4."/>
      <w:lvlJc w:val="left"/>
      <w:pPr>
        <w:ind w:left="2880" w:hanging="360"/>
      </w:pPr>
    </w:lvl>
    <w:lvl w:ilvl="4" w:tplc="620E4FAC">
      <w:start w:val="1"/>
      <w:numFmt w:val="lowerLetter"/>
      <w:lvlText w:val="%5."/>
      <w:lvlJc w:val="left"/>
      <w:pPr>
        <w:ind w:left="3600" w:hanging="360"/>
      </w:pPr>
    </w:lvl>
    <w:lvl w:ilvl="5" w:tplc="0A966C3A">
      <w:start w:val="1"/>
      <w:numFmt w:val="lowerRoman"/>
      <w:lvlText w:val="%6."/>
      <w:lvlJc w:val="right"/>
      <w:pPr>
        <w:ind w:left="4320" w:hanging="180"/>
      </w:pPr>
    </w:lvl>
    <w:lvl w:ilvl="6" w:tplc="7AD6D54E">
      <w:start w:val="1"/>
      <w:numFmt w:val="decimal"/>
      <w:lvlText w:val="%7."/>
      <w:lvlJc w:val="left"/>
      <w:pPr>
        <w:ind w:left="5040" w:hanging="360"/>
      </w:pPr>
    </w:lvl>
    <w:lvl w:ilvl="7" w:tplc="9E42CB98">
      <w:start w:val="1"/>
      <w:numFmt w:val="lowerLetter"/>
      <w:lvlText w:val="%8."/>
      <w:lvlJc w:val="left"/>
      <w:pPr>
        <w:ind w:left="5760" w:hanging="360"/>
      </w:pPr>
    </w:lvl>
    <w:lvl w:ilvl="8" w:tplc="03866E76">
      <w:start w:val="1"/>
      <w:numFmt w:val="lowerRoman"/>
      <w:lvlText w:val="%9."/>
      <w:lvlJc w:val="right"/>
      <w:pPr>
        <w:ind w:left="6480" w:hanging="180"/>
      </w:pPr>
    </w:lvl>
  </w:abstractNum>
  <w:abstractNum w:abstractNumId="6" w15:restartNumberingAfterBreak="0">
    <w:nsid w:val="3B5E2434"/>
    <w:multiLevelType w:val="hybridMultilevel"/>
    <w:tmpl w:val="3DAA186E"/>
    <w:lvl w:ilvl="0" w:tplc="8976121E">
      <w:start w:val="1"/>
      <w:numFmt w:val="bullet"/>
      <w:lvlText w:val=""/>
      <w:lvlJc w:val="left"/>
      <w:pPr>
        <w:ind w:left="720" w:hanging="360"/>
      </w:pPr>
      <w:rPr>
        <w:rFonts w:ascii="Symbol" w:hAnsi="Symbol" w:hint="default"/>
      </w:rPr>
    </w:lvl>
    <w:lvl w:ilvl="1" w:tplc="64F4723C">
      <w:start w:val="1"/>
      <w:numFmt w:val="bullet"/>
      <w:lvlText w:val="o"/>
      <w:lvlJc w:val="left"/>
      <w:pPr>
        <w:ind w:left="1440" w:hanging="360"/>
      </w:pPr>
      <w:rPr>
        <w:rFonts w:ascii="Courier New" w:hAnsi="Courier New" w:hint="default"/>
      </w:rPr>
    </w:lvl>
    <w:lvl w:ilvl="2" w:tplc="C4F815A4">
      <w:start w:val="1"/>
      <w:numFmt w:val="bullet"/>
      <w:lvlText w:val=""/>
      <w:lvlJc w:val="left"/>
      <w:pPr>
        <w:ind w:left="2160" w:hanging="360"/>
      </w:pPr>
      <w:rPr>
        <w:rFonts w:ascii="Wingdings" w:hAnsi="Wingdings" w:hint="default"/>
      </w:rPr>
    </w:lvl>
    <w:lvl w:ilvl="3" w:tplc="90E88C78">
      <w:start w:val="1"/>
      <w:numFmt w:val="bullet"/>
      <w:lvlText w:val=""/>
      <w:lvlJc w:val="left"/>
      <w:pPr>
        <w:ind w:left="2880" w:hanging="360"/>
      </w:pPr>
      <w:rPr>
        <w:rFonts w:ascii="Symbol" w:hAnsi="Symbol" w:hint="default"/>
      </w:rPr>
    </w:lvl>
    <w:lvl w:ilvl="4" w:tplc="60A27DC4">
      <w:start w:val="1"/>
      <w:numFmt w:val="bullet"/>
      <w:lvlText w:val="o"/>
      <w:lvlJc w:val="left"/>
      <w:pPr>
        <w:ind w:left="3600" w:hanging="360"/>
      </w:pPr>
      <w:rPr>
        <w:rFonts w:ascii="Courier New" w:hAnsi="Courier New" w:hint="default"/>
      </w:rPr>
    </w:lvl>
    <w:lvl w:ilvl="5" w:tplc="34A63A76">
      <w:start w:val="1"/>
      <w:numFmt w:val="bullet"/>
      <w:lvlText w:val=""/>
      <w:lvlJc w:val="left"/>
      <w:pPr>
        <w:ind w:left="4320" w:hanging="360"/>
      </w:pPr>
      <w:rPr>
        <w:rFonts w:ascii="Wingdings" w:hAnsi="Wingdings" w:hint="default"/>
      </w:rPr>
    </w:lvl>
    <w:lvl w:ilvl="6" w:tplc="3BE41CC8">
      <w:start w:val="1"/>
      <w:numFmt w:val="bullet"/>
      <w:lvlText w:val=""/>
      <w:lvlJc w:val="left"/>
      <w:pPr>
        <w:ind w:left="5040" w:hanging="360"/>
      </w:pPr>
      <w:rPr>
        <w:rFonts w:ascii="Symbol" w:hAnsi="Symbol" w:hint="default"/>
      </w:rPr>
    </w:lvl>
    <w:lvl w:ilvl="7" w:tplc="8CE0EFC2">
      <w:start w:val="1"/>
      <w:numFmt w:val="bullet"/>
      <w:lvlText w:val="o"/>
      <w:lvlJc w:val="left"/>
      <w:pPr>
        <w:ind w:left="5760" w:hanging="360"/>
      </w:pPr>
      <w:rPr>
        <w:rFonts w:ascii="Courier New" w:hAnsi="Courier New" w:hint="default"/>
      </w:rPr>
    </w:lvl>
    <w:lvl w:ilvl="8" w:tplc="AC5277AA">
      <w:start w:val="1"/>
      <w:numFmt w:val="bullet"/>
      <w:lvlText w:val=""/>
      <w:lvlJc w:val="left"/>
      <w:pPr>
        <w:ind w:left="6480" w:hanging="360"/>
      </w:pPr>
      <w:rPr>
        <w:rFonts w:ascii="Wingdings" w:hAnsi="Wingdings" w:hint="default"/>
      </w:rPr>
    </w:lvl>
  </w:abstractNum>
  <w:abstractNum w:abstractNumId="7" w15:restartNumberingAfterBreak="0">
    <w:nsid w:val="6168D94E"/>
    <w:multiLevelType w:val="hybridMultilevel"/>
    <w:tmpl w:val="602AC4CA"/>
    <w:lvl w:ilvl="0" w:tplc="2E840B58">
      <w:start w:val="1"/>
      <w:numFmt w:val="bullet"/>
      <w:lvlText w:val=""/>
      <w:lvlJc w:val="left"/>
      <w:pPr>
        <w:ind w:left="720" w:hanging="360"/>
      </w:pPr>
      <w:rPr>
        <w:rFonts w:ascii="Symbol" w:hAnsi="Symbol" w:hint="default"/>
      </w:rPr>
    </w:lvl>
    <w:lvl w:ilvl="1" w:tplc="7598AA14">
      <w:start w:val="1"/>
      <w:numFmt w:val="bullet"/>
      <w:lvlText w:val="o"/>
      <w:lvlJc w:val="left"/>
      <w:pPr>
        <w:ind w:left="1440" w:hanging="360"/>
      </w:pPr>
      <w:rPr>
        <w:rFonts w:ascii="Courier New" w:hAnsi="Courier New" w:hint="default"/>
      </w:rPr>
    </w:lvl>
    <w:lvl w:ilvl="2" w:tplc="4F76E154">
      <w:start w:val="1"/>
      <w:numFmt w:val="bullet"/>
      <w:lvlText w:val=""/>
      <w:lvlJc w:val="left"/>
      <w:pPr>
        <w:ind w:left="2160" w:hanging="360"/>
      </w:pPr>
      <w:rPr>
        <w:rFonts w:ascii="Wingdings" w:hAnsi="Wingdings" w:hint="default"/>
      </w:rPr>
    </w:lvl>
    <w:lvl w:ilvl="3" w:tplc="F432CAE4">
      <w:start w:val="1"/>
      <w:numFmt w:val="bullet"/>
      <w:lvlText w:val=""/>
      <w:lvlJc w:val="left"/>
      <w:pPr>
        <w:ind w:left="2880" w:hanging="360"/>
      </w:pPr>
      <w:rPr>
        <w:rFonts w:ascii="Symbol" w:hAnsi="Symbol" w:hint="default"/>
      </w:rPr>
    </w:lvl>
    <w:lvl w:ilvl="4" w:tplc="367E12B8">
      <w:start w:val="1"/>
      <w:numFmt w:val="bullet"/>
      <w:lvlText w:val="o"/>
      <w:lvlJc w:val="left"/>
      <w:pPr>
        <w:ind w:left="3600" w:hanging="360"/>
      </w:pPr>
      <w:rPr>
        <w:rFonts w:ascii="Courier New" w:hAnsi="Courier New" w:hint="default"/>
      </w:rPr>
    </w:lvl>
    <w:lvl w:ilvl="5" w:tplc="5ABC5466">
      <w:start w:val="1"/>
      <w:numFmt w:val="bullet"/>
      <w:lvlText w:val=""/>
      <w:lvlJc w:val="left"/>
      <w:pPr>
        <w:ind w:left="4320" w:hanging="360"/>
      </w:pPr>
      <w:rPr>
        <w:rFonts w:ascii="Wingdings" w:hAnsi="Wingdings" w:hint="default"/>
      </w:rPr>
    </w:lvl>
    <w:lvl w:ilvl="6" w:tplc="31A050C2">
      <w:start w:val="1"/>
      <w:numFmt w:val="bullet"/>
      <w:lvlText w:val=""/>
      <w:lvlJc w:val="left"/>
      <w:pPr>
        <w:ind w:left="5040" w:hanging="360"/>
      </w:pPr>
      <w:rPr>
        <w:rFonts w:ascii="Symbol" w:hAnsi="Symbol" w:hint="default"/>
      </w:rPr>
    </w:lvl>
    <w:lvl w:ilvl="7" w:tplc="7FFA1D60">
      <w:start w:val="1"/>
      <w:numFmt w:val="bullet"/>
      <w:lvlText w:val="o"/>
      <w:lvlJc w:val="left"/>
      <w:pPr>
        <w:ind w:left="5760" w:hanging="360"/>
      </w:pPr>
      <w:rPr>
        <w:rFonts w:ascii="Courier New" w:hAnsi="Courier New" w:hint="default"/>
      </w:rPr>
    </w:lvl>
    <w:lvl w:ilvl="8" w:tplc="42AAE23C">
      <w:start w:val="1"/>
      <w:numFmt w:val="bullet"/>
      <w:lvlText w:val=""/>
      <w:lvlJc w:val="left"/>
      <w:pPr>
        <w:ind w:left="6480" w:hanging="360"/>
      </w:pPr>
      <w:rPr>
        <w:rFonts w:ascii="Wingdings" w:hAnsi="Wingdings" w:hint="default"/>
      </w:rPr>
    </w:lvl>
  </w:abstractNum>
  <w:abstractNum w:abstractNumId="8" w15:restartNumberingAfterBreak="0">
    <w:nsid w:val="71676589"/>
    <w:multiLevelType w:val="hybridMultilevel"/>
    <w:tmpl w:val="EA0087C4"/>
    <w:lvl w:ilvl="0" w:tplc="0298D822">
      <w:start w:val="1"/>
      <w:numFmt w:val="bullet"/>
      <w:lvlText w:val=""/>
      <w:lvlJc w:val="left"/>
      <w:pPr>
        <w:ind w:left="720" w:hanging="360"/>
      </w:pPr>
      <w:rPr>
        <w:rFonts w:ascii="Symbol" w:hAnsi="Symbol" w:hint="default"/>
      </w:rPr>
    </w:lvl>
    <w:lvl w:ilvl="1" w:tplc="4350C398">
      <w:start w:val="1"/>
      <w:numFmt w:val="bullet"/>
      <w:lvlText w:val="o"/>
      <w:lvlJc w:val="left"/>
      <w:pPr>
        <w:ind w:left="1440" w:hanging="360"/>
      </w:pPr>
      <w:rPr>
        <w:rFonts w:ascii="Courier New" w:hAnsi="Courier New" w:hint="default"/>
      </w:rPr>
    </w:lvl>
    <w:lvl w:ilvl="2" w:tplc="5B3A1F54">
      <w:start w:val="1"/>
      <w:numFmt w:val="bullet"/>
      <w:lvlText w:val=""/>
      <w:lvlJc w:val="left"/>
      <w:pPr>
        <w:ind w:left="2160" w:hanging="360"/>
      </w:pPr>
      <w:rPr>
        <w:rFonts w:ascii="Wingdings" w:hAnsi="Wingdings" w:hint="default"/>
      </w:rPr>
    </w:lvl>
    <w:lvl w:ilvl="3" w:tplc="3BB8643E">
      <w:start w:val="1"/>
      <w:numFmt w:val="bullet"/>
      <w:lvlText w:val=""/>
      <w:lvlJc w:val="left"/>
      <w:pPr>
        <w:ind w:left="2880" w:hanging="360"/>
      </w:pPr>
      <w:rPr>
        <w:rFonts w:ascii="Symbol" w:hAnsi="Symbol" w:hint="default"/>
      </w:rPr>
    </w:lvl>
    <w:lvl w:ilvl="4" w:tplc="FACE627C">
      <w:start w:val="1"/>
      <w:numFmt w:val="bullet"/>
      <w:lvlText w:val="o"/>
      <w:lvlJc w:val="left"/>
      <w:pPr>
        <w:ind w:left="3600" w:hanging="360"/>
      </w:pPr>
      <w:rPr>
        <w:rFonts w:ascii="Courier New" w:hAnsi="Courier New" w:hint="default"/>
      </w:rPr>
    </w:lvl>
    <w:lvl w:ilvl="5" w:tplc="A02C5922">
      <w:start w:val="1"/>
      <w:numFmt w:val="bullet"/>
      <w:lvlText w:val=""/>
      <w:lvlJc w:val="left"/>
      <w:pPr>
        <w:ind w:left="4320" w:hanging="360"/>
      </w:pPr>
      <w:rPr>
        <w:rFonts w:ascii="Wingdings" w:hAnsi="Wingdings" w:hint="default"/>
      </w:rPr>
    </w:lvl>
    <w:lvl w:ilvl="6" w:tplc="E19840BC">
      <w:start w:val="1"/>
      <w:numFmt w:val="bullet"/>
      <w:lvlText w:val=""/>
      <w:lvlJc w:val="left"/>
      <w:pPr>
        <w:ind w:left="5040" w:hanging="360"/>
      </w:pPr>
      <w:rPr>
        <w:rFonts w:ascii="Symbol" w:hAnsi="Symbol" w:hint="default"/>
      </w:rPr>
    </w:lvl>
    <w:lvl w:ilvl="7" w:tplc="B74A294A">
      <w:start w:val="1"/>
      <w:numFmt w:val="bullet"/>
      <w:lvlText w:val="o"/>
      <w:lvlJc w:val="left"/>
      <w:pPr>
        <w:ind w:left="5760" w:hanging="360"/>
      </w:pPr>
      <w:rPr>
        <w:rFonts w:ascii="Courier New" w:hAnsi="Courier New" w:hint="default"/>
      </w:rPr>
    </w:lvl>
    <w:lvl w:ilvl="8" w:tplc="8752DB2A">
      <w:start w:val="1"/>
      <w:numFmt w:val="bullet"/>
      <w:lvlText w:val=""/>
      <w:lvlJc w:val="left"/>
      <w:pPr>
        <w:ind w:left="6480" w:hanging="360"/>
      </w:pPr>
      <w:rPr>
        <w:rFonts w:ascii="Wingdings" w:hAnsi="Wingdings" w:hint="default"/>
      </w:rPr>
    </w:lvl>
  </w:abstractNum>
  <w:num w:numId="1" w16cid:durableId="1280409523">
    <w:abstractNumId w:val="3"/>
  </w:num>
  <w:num w:numId="2" w16cid:durableId="1071268452">
    <w:abstractNumId w:val="2"/>
  </w:num>
  <w:num w:numId="3" w16cid:durableId="1725519941">
    <w:abstractNumId w:val="5"/>
  </w:num>
  <w:num w:numId="4" w16cid:durableId="875314019">
    <w:abstractNumId w:val="4"/>
  </w:num>
  <w:num w:numId="5" w16cid:durableId="66730393">
    <w:abstractNumId w:val="7"/>
  </w:num>
  <w:num w:numId="6" w16cid:durableId="1921910484">
    <w:abstractNumId w:val="1"/>
  </w:num>
  <w:num w:numId="7" w16cid:durableId="564729182">
    <w:abstractNumId w:val="0"/>
  </w:num>
  <w:num w:numId="8" w16cid:durableId="1995260750">
    <w:abstractNumId w:val="6"/>
  </w:num>
  <w:num w:numId="9" w16cid:durableId="19732414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DFE7C2"/>
    <w:rsid w:val="00710AF2"/>
    <w:rsid w:val="00C34C6B"/>
    <w:rsid w:val="00D009B2"/>
    <w:rsid w:val="069769C4"/>
    <w:rsid w:val="138EBAC7"/>
    <w:rsid w:val="146BA6A1"/>
    <w:rsid w:val="15269A06"/>
    <w:rsid w:val="25CE11AF"/>
    <w:rsid w:val="28DFE7C2"/>
    <w:rsid w:val="2D0C1849"/>
    <w:rsid w:val="467D5E43"/>
    <w:rsid w:val="5438CA45"/>
    <w:rsid w:val="58CEE588"/>
    <w:rsid w:val="58F69DB4"/>
    <w:rsid w:val="6A28A32D"/>
    <w:rsid w:val="7220D9A5"/>
    <w:rsid w:val="72F9BD06"/>
    <w:rsid w:val="77F9C4A3"/>
    <w:rsid w:val="7C9D2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FE7C2"/>
  <w15:chartTrackingRefBased/>
  <w15:docId w15:val="{A56F8D58-F67A-455C-9AE9-C8AF53558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7C9D21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C9D2126"/>
    <w:pPr>
      <w:ind w:left="720"/>
      <w:contextualSpacing/>
    </w:pPr>
  </w:style>
  <w:style w:type="character" w:styleId="Hyperlink">
    <w:name w:val="Hyperlink"/>
    <w:basedOn w:val="DefaultParagraphFont"/>
    <w:uiPriority w:val="99"/>
    <w:unhideWhenUsed/>
    <w:rsid w:val="7C9D212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iramank@in.ib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1210</Words>
  <Characters>6901</Characters>
  <Application>Microsoft Office Word</Application>
  <DocSecurity>0</DocSecurity>
  <Lines>57</Lines>
  <Paragraphs>16</Paragraphs>
  <ScaleCrop>false</ScaleCrop>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Khokhar</dc:creator>
  <cp:keywords/>
  <dc:description/>
  <cp:lastModifiedBy>JANA WONG</cp:lastModifiedBy>
  <cp:revision>2</cp:revision>
  <dcterms:created xsi:type="dcterms:W3CDTF">2025-12-09T20:21:00Z</dcterms:created>
  <dcterms:modified xsi:type="dcterms:W3CDTF">2025-12-09T20:21:00Z</dcterms:modified>
</cp:coreProperties>
</file>