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69DC" w14:textId="3F5692FD" w:rsidR="00DD2700" w:rsidRPr="00DD2700" w:rsidRDefault="00DD2700" w:rsidP="00DD2700">
      <w:pPr>
        <w:pStyle w:val="NormalWeb"/>
        <w:spacing w:line="300" w:lineRule="atLeast"/>
        <w:jc w:val="center"/>
        <w:rPr>
          <w:rFonts w:ascii="Calibri" w:hAnsi="Calibri" w:cs="Calibri"/>
          <w:color w:val="102497"/>
          <w14:textFill>
            <w14:solidFill>
              <w14:srgbClr w14:val="102497">
                <w14:lumMod w14:val="75000"/>
                <w14:lumOff w14:val="25000"/>
              </w14:srgbClr>
            </w14:solidFill>
          </w14:textFill>
        </w:rPr>
      </w:pPr>
      <w:r w:rsidRPr="00DD2700">
        <w:rPr>
          <w:rFonts w:asciiTheme="majorHAnsi" w:hAnsiTheme="majorHAnsi" w:cstheme="majorHAnsi"/>
          <w:b/>
          <w:bCs/>
          <w:color w:val="102497"/>
          <w:sz w:val="40"/>
          <w:szCs w:val="40"/>
        </w:rPr>
        <w:t>Db2 Genius Hub: From Automation to Agentic Operations for Mission</w:t>
      </w:r>
      <w:r w:rsidRPr="00DD2700">
        <w:rPr>
          <w:rFonts w:ascii="Cambria Math" w:hAnsi="Cambria Math" w:cs="Cambria Math"/>
          <w:b/>
          <w:bCs/>
          <w:color w:val="102497"/>
          <w:sz w:val="40"/>
          <w:szCs w:val="40"/>
        </w:rPr>
        <w:t>‑</w:t>
      </w:r>
      <w:r w:rsidRPr="00DD2700">
        <w:rPr>
          <w:rFonts w:asciiTheme="majorHAnsi" w:hAnsiTheme="majorHAnsi" w:cstheme="majorHAnsi"/>
          <w:b/>
          <w:bCs/>
          <w:color w:val="102497"/>
          <w:sz w:val="40"/>
          <w:szCs w:val="40"/>
        </w:rPr>
        <w:t>Critical</w:t>
      </w:r>
      <w:r w:rsidRPr="00DD2700">
        <w:rPr>
          <w:rFonts w:asciiTheme="majorHAnsi" w:hAnsiTheme="majorHAnsi" w:cstheme="majorHAnsi"/>
          <w:b/>
          <w:bCs/>
          <w:color w:val="102497"/>
          <w:sz w:val="40"/>
          <w:szCs w:val="40"/>
        </w:rPr>
        <w:t xml:space="preserve"> Data</w:t>
      </w:r>
    </w:p>
    <w:p w14:paraId="5B2AD8A1" w14:textId="6A8CF7AC" w:rsidR="00DD2700" w:rsidRDefault="00DD2700" w:rsidP="00811528">
      <w:pPr>
        <w:pStyle w:val="NormalWeb"/>
        <w:spacing w:line="300" w:lineRule="atLeast"/>
        <w:rPr>
          <w:rFonts w:ascii="Calibri" w:hAnsi="Calibri" w:cs="Calibri"/>
          <w:color w:val="404040" w:themeColor="text1" w:themeTint="BF"/>
        </w:rPr>
      </w:pPr>
      <w:r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49419157" wp14:editId="1DE5B647">
            <wp:extent cx="5943600" cy="3412067"/>
            <wp:effectExtent l="0" t="0" r="0" b="4445"/>
            <wp:docPr id="1344802950" name="Picture 2" descr="A blue background with text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02950" name="Picture 2" descr="A blue background with text and circles&#10;&#10;AI-generated content may be incorrect."/>
                    <pic:cNvPicPr/>
                  </pic:nvPicPr>
                  <pic:blipFill rotWithShape="1">
                    <a:blip r:embed="rId6"/>
                    <a:srcRect b="13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756" cy="342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A8424" w14:textId="1F2C3F0F" w:rsidR="00DD2700" w:rsidRDefault="006E26D6" w:rsidP="00811528">
      <w:pPr>
        <w:pStyle w:val="NormalWeb"/>
        <w:spacing w:line="300" w:lineRule="atLeast"/>
        <w:rPr>
          <w:rFonts w:ascii="Calibri" w:hAnsi="Calibri" w:cs="Calibri"/>
          <w:color w:val="404040" w:themeColor="text1" w:themeTint="BF"/>
        </w:rPr>
      </w:pPr>
      <w:r w:rsidRPr="006E26D6">
        <w:rPr>
          <w:rFonts w:asciiTheme="majorHAnsi" w:hAnsiTheme="majorHAnsi" w:cstheme="majorHAnsi"/>
          <w:noProof/>
          <w:color w:val="000000"/>
        </w:rPr>
        <w:pict w14:anchorId="578B47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3B156E" w14:textId="040B81AD" w:rsidR="00811528" w:rsidRPr="00811528" w:rsidRDefault="00811528" w:rsidP="00811528">
      <w:pPr>
        <w:pStyle w:val="NormalWeb"/>
        <w:spacing w:line="300" w:lineRule="atLeast"/>
        <w:rPr>
          <w:rFonts w:ascii="Calibri" w:hAnsi="Calibri" w:cs="Calibri"/>
          <w:color w:val="404040" w:themeColor="text1" w:themeTint="BF"/>
        </w:rPr>
      </w:pPr>
      <w:r w:rsidRPr="00811528">
        <w:rPr>
          <w:rFonts w:ascii="Calibri" w:hAnsi="Calibri" w:cs="Calibri"/>
          <w:color w:val="404040" w:themeColor="text1" w:themeTint="BF"/>
        </w:rPr>
        <w:t>Enterprise databases have always been expected to deliver near</w:t>
      </w:r>
      <w:r w:rsidRPr="00811528">
        <w:rPr>
          <w:rFonts w:ascii="Calibri" w:hAnsi="Calibri" w:cs="Calibri"/>
          <w:color w:val="404040" w:themeColor="text1" w:themeTint="BF"/>
        </w:rPr>
        <w:noBreakHyphen/>
        <w:t>perfect reliability. For platforms like Db2—powering governments, financial systems, airlines, and national infrastructure—failure is not merely an inconvenience; it is systemic risk. For decades, that risk has been mitigated by human expertise: teams of highly skilled DBAs continuously tuning configurations, managing recovery, diagnosing anomalies, and responding to incidents under extreme time pressure.</w:t>
      </w:r>
    </w:p>
    <w:p w14:paraId="698EF289" w14:textId="5A94D1F7" w:rsidR="00811528" w:rsidRDefault="00811528" w:rsidP="00811528">
      <w:pPr>
        <w:pStyle w:val="NormalWeb"/>
        <w:spacing w:line="300" w:lineRule="atLeast"/>
        <w:rPr>
          <w:rFonts w:ascii="Calibri" w:hAnsi="Calibri" w:cs="Calibri"/>
          <w:color w:val="404040" w:themeColor="text1" w:themeTint="BF"/>
        </w:rPr>
      </w:pPr>
      <w:r w:rsidRPr="00DD2700">
        <w:rPr>
          <w:rFonts w:ascii="Calibri" w:hAnsi="Calibri" w:cs="Calibri"/>
          <w:b/>
          <w:bCs/>
          <w:color w:val="404040" w:themeColor="text1" w:themeTint="BF"/>
        </w:rPr>
        <w:t>Db2 Genius Hub</w:t>
      </w:r>
      <w:r w:rsidRPr="00811528">
        <w:rPr>
          <w:rFonts w:ascii="Calibri" w:hAnsi="Calibri" w:cs="Calibri"/>
          <w:color w:val="404040" w:themeColor="text1" w:themeTint="BF"/>
        </w:rPr>
        <w:t xml:space="preserve"> represents a fundamental shift in how that operational responsibility is shared between humans and software. Rather than automating individual tasks in isolation, Genius Hub introduces</w:t>
      </w:r>
      <w:r w:rsidRPr="00811528">
        <w:rPr>
          <w:rStyle w:val="apple-converted-space"/>
          <w:rFonts w:ascii="Calibri" w:hAnsi="Calibri" w:cs="Calibri"/>
          <w:color w:val="404040" w:themeColor="text1" w:themeTint="BF"/>
        </w:rPr>
        <w:t> </w:t>
      </w:r>
      <w:r w:rsidRPr="00811528">
        <w:rPr>
          <w:rStyle w:val="Strong"/>
          <w:rFonts w:ascii="Calibri" w:hAnsi="Calibri" w:cs="Calibri"/>
          <w:color w:val="404040" w:themeColor="text1" w:themeTint="BF"/>
        </w:rPr>
        <w:t>agentic operational intelligence</w:t>
      </w:r>
      <w:r w:rsidRPr="00811528">
        <w:rPr>
          <w:rFonts w:ascii="Calibri" w:hAnsi="Calibri" w:cs="Calibri"/>
          <w:color w:val="404040" w:themeColor="text1" w:themeTint="BF"/>
        </w:rPr>
        <w:t>—systems that reason over history, context, and real</w:t>
      </w:r>
      <w:r w:rsidRPr="00811528">
        <w:rPr>
          <w:rFonts w:ascii="Calibri" w:hAnsi="Calibri" w:cs="Calibri"/>
          <w:color w:val="404040" w:themeColor="text1" w:themeTint="BF"/>
        </w:rPr>
        <w:noBreakHyphen/>
        <w:t>time behavior to act proactively across the database lifecycle.</w:t>
      </w:r>
      <w:r>
        <w:rPr>
          <w:rFonts w:ascii="Calibri" w:hAnsi="Calibri" w:cs="Calibri"/>
          <w:color w:val="404040" w:themeColor="text1" w:themeTint="BF"/>
        </w:rPr>
        <w:t xml:space="preserve"> </w:t>
      </w:r>
      <w:r w:rsidRPr="00811528">
        <w:rPr>
          <w:rFonts w:ascii="Calibri" w:hAnsi="Calibri" w:cs="Calibri"/>
          <w:color w:val="404040" w:themeColor="text1" w:themeTint="BF"/>
        </w:rPr>
        <w:t>This is not about replacing DBAs. It is about redefining what it means to operate mission</w:t>
      </w:r>
      <w:r w:rsidRPr="00811528">
        <w:rPr>
          <w:rFonts w:ascii="Calibri" w:hAnsi="Calibri" w:cs="Calibri"/>
          <w:color w:val="404040" w:themeColor="text1" w:themeTint="BF"/>
        </w:rPr>
        <w:noBreakHyphen/>
        <w:t>critical data infrastructure in an AI</w:t>
      </w:r>
      <w:r w:rsidRPr="00811528">
        <w:rPr>
          <w:rFonts w:ascii="Calibri" w:hAnsi="Calibri" w:cs="Calibri"/>
          <w:color w:val="404040" w:themeColor="text1" w:themeTint="BF"/>
        </w:rPr>
        <w:noBreakHyphen/>
        <w:t>driven era.</w:t>
      </w:r>
      <w:r>
        <w:rPr>
          <w:rFonts w:ascii="Calibri" w:hAnsi="Calibri" w:cs="Calibri"/>
          <w:color w:val="404040" w:themeColor="text1" w:themeTint="BF"/>
        </w:rPr>
        <w:t xml:space="preserve"> </w:t>
      </w:r>
    </w:p>
    <w:p w14:paraId="351A5CBC" w14:textId="383B9FDE" w:rsidR="00DD2700" w:rsidRDefault="00DD2700" w:rsidP="00DD2700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Watch th</w:t>
      </w:r>
      <w:r>
        <w:rPr>
          <w:rFonts w:asciiTheme="majorHAnsi" w:hAnsiTheme="majorHAnsi" w:cstheme="majorHAnsi"/>
          <w:color w:val="404040" w:themeColor="text1" w:themeTint="BF"/>
        </w:rPr>
        <w:t xml:space="preserve">e following </w:t>
      </w:r>
      <w:r w:rsidRPr="00DD2700">
        <w:rPr>
          <w:rFonts w:asciiTheme="majorHAnsi" w:hAnsiTheme="majorHAnsi" w:cstheme="majorHAnsi"/>
          <w:b/>
          <w:bCs/>
          <w:color w:val="404040" w:themeColor="text1" w:themeTint="BF"/>
        </w:rPr>
        <w:t xml:space="preserve">analyst perspective from Sanjeev Mohan </w:t>
      </w:r>
      <w:r>
        <w:rPr>
          <w:rFonts w:asciiTheme="majorHAnsi" w:hAnsiTheme="majorHAnsi" w:cstheme="majorHAnsi"/>
          <w:color w:val="404040" w:themeColor="text1" w:themeTint="BF"/>
        </w:rPr>
        <w:t>- founder</w:t>
      </w:r>
      <w:r w:rsidRPr="00811528">
        <w:rPr>
          <w:rFonts w:asciiTheme="majorHAnsi" w:hAnsiTheme="majorHAnsi" w:cstheme="majorHAnsi"/>
          <w:color w:val="404040" w:themeColor="text1" w:themeTint="BF"/>
        </w:rPr>
        <w:t xml:space="preserve"> of Sanjmo and a long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>time observer of modern data architectures—</w:t>
      </w:r>
      <w:r>
        <w:rPr>
          <w:rFonts w:asciiTheme="majorHAnsi" w:hAnsiTheme="majorHAnsi" w:cstheme="majorHAnsi"/>
          <w:color w:val="404040" w:themeColor="text1" w:themeTint="BF"/>
        </w:rPr>
        <w:t xml:space="preserve"> </w:t>
      </w:r>
      <w:r>
        <w:rPr>
          <w:rFonts w:asciiTheme="majorHAnsi" w:hAnsiTheme="majorHAnsi" w:cstheme="majorHAnsi"/>
          <w:color w:val="404040" w:themeColor="text1" w:themeTint="BF"/>
        </w:rPr>
        <w:t>as he</w:t>
      </w:r>
      <w:r w:rsidRPr="00811528">
        <w:rPr>
          <w:rFonts w:asciiTheme="majorHAnsi" w:hAnsiTheme="majorHAnsi" w:cstheme="majorHAnsi"/>
          <w:color w:val="404040" w:themeColor="text1" w:themeTint="BF"/>
        </w:rPr>
        <w:t xml:space="preserve"> offers his view on what Db2 Genius Hub means for mission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 xml:space="preserve">critical data operations. </w:t>
      </w:r>
    </w:p>
    <w:p w14:paraId="4F6472A9" w14:textId="77777777" w:rsidR="00DD2700" w:rsidRPr="00DD2700" w:rsidRDefault="00DD2700" w:rsidP="00DD2700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>
        <w:rPr>
          <w:rFonts w:asciiTheme="majorHAnsi" w:hAnsiTheme="majorHAnsi" w:cstheme="majorHAnsi"/>
          <w:noProof/>
          <w:color w:val="000000" w:themeColor="text1"/>
        </w:rPr>
        <w:lastRenderedPageBreak/>
        <w:drawing>
          <wp:inline distT="0" distB="0" distL="0" distR="0" wp14:anchorId="2EFFE697" wp14:editId="2A3DFFB4">
            <wp:extent cx="6007100" cy="3411440"/>
            <wp:effectExtent l="0" t="0" r="0" b="5080"/>
            <wp:docPr id="1995903375" name="Picture 4" descr="A person smiling and looking at the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03375" name="Picture 4" descr="A person smiling and looking at the camera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8104" cy="341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2272" w14:textId="1AC737CE" w:rsidR="00DD2700" w:rsidRDefault="00DD2700" w:rsidP="00DD2700">
      <w:pPr>
        <w:pStyle w:val="NormalWeb"/>
        <w:spacing w:line="300" w:lineRule="atLeast"/>
        <w:jc w:val="center"/>
        <w:rPr>
          <w:rFonts w:ascii="Calibri" w:hAnsi="Calibri" w:cs="Calibri"/>
          <w:color w:val="404040" w:themeColor="text1" w:themeTint="BF"/>
        </w:rPr>
      </w:pPr>
      <w:r w:rsidRPr="00811528">
        <w:rPr>
          <w:rStyle w:val="Emphasis"/>
          <w:rFonts w:asciiTheme="majorHAnsi" w:eastAsiaTheme="majorEastAsia" w:hAnsiTheme="majorHAnsi" w:cstheme="majorHAnsi"/>
          <w:color w:val="404040" w:themeColor="text1" w:themeTint="BF"/>
        </w:rPr>
        <w:t xml:space="preserve">(Embedded Video: </w:t>
      </w:r>
      <w:hyperlink r:id="rId8" w:history="1">
        <w:r w:rsidRPr="00811528">
          <w:rPr>
            <w:rStyle w:val="Hyperlink"/>
            <w:rFonts w:asciiTheme="majorHAnsi" w:eastAsiaTheme="majorEastAsia" w:hAnsiTheme="majorHAnsi" w:cstheme="majorHAnsi"/>
            <w14:textFill>
              <w14:solidFill>
                <w14:srgbClr w14:val="0000FF">
                  <w14:lumMod w14:val="75000"/>
                  <w14:lumOff w14:val="25000"/>
                </w14:srgbClr>
              </w14:solidFill>
            </w14:textFill>
          </w:rPr>
          <w:t>Analyst Perspective on Db2 Genius Hub with Sanjeev Mohan</w:t>
        </w:r>
      </w:hyperlink>
      <w:r w:rsidRPr="00811528">
        <w:rPr>
          <w:rStyle w:val="Emphasis"/>
          <w:rFonts w:asciiTheme="majorHAnsi" w:eastAsiaTheme="majorEastAsia" w:hAnsiTheme="majorHAnsi" w:cstheme="majorHAnsi"/>
          <w:color w:val="404040" w:themeColor="text1" w:themeTint="BF"/>
        </w:rPr>
        <w:t>)</w:t>
      </w:r>
    </w:p>
    <w:p w14:paraId="39F39862" w14:textId="2D011980" w:rsidR="00811528" w:rsidRPr="00811528" w:rsidRDefault="006E26D6">
      <w:pPr>
        <w:spacing w:after="24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E26D6">
        <w:rPr>
          <w:rFonts w:asciiTheme="majorHAnsi" w:hAnsiTheme="majorHAnsi" w:cstheme="majorHAnsi"/>
          <w:noProof/>
          <w:color w:val="000000"/>
          <w:sz w:val="24"/>
          <w:szCs w:val="24"/>
        </w:rPr>
        <w:pict w14:anchorId="2ACC33E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9272441" w14:textId="77777777" w:rsidR="00811528" w:rsidRPr="00811528" w:rsidRDefault="00811528" w:rsidP="00811528">
      <w:pPr>
        <w:pStyle w:val="Heading2"/>
        <w:spacing w:line="300" w:lineRule="atLeast"/>
        <w:rPr>
          <w:rFonts w:cstheme="majorHAnsi"/>
          <w:color w:val="345B8B"/>
          <w:sz w:val="32"/>
          <w:szCs w:val="32"/>
        </w:rPr>
      </w:pPr>
      <w:r w:rsidRPr="00811528">
        <w:rPr>
          <w:rFonts w:cstheme="majorHAnsi"/>
          <w:color w:val="345B8B"/>
          <w:sz w:val="32"/>
          <w:szCs w:val="32"/>
        </w:rPr>
        <w:t>The Limits of Traditional Database Automation</w:t>
      </w:r>
    </w:p>
    <w:p w14:paraId="6DA6BA5C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Most database automation today is reactive and narrow in scope:</w:t>
      </w:r>
    </w:p>
    <w:p w14:paraId="30485914" w14:textId="77777777" w:rsidR="00811528" w:rsidRPr="00811528" w:rsidRDefault="00811528" w:rsidP="008115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Threshold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based alerts that trigger after a problem emerges</w:t>
      </w:r>
    </w:p>
    <w:p w14:paraId="628E1F44" w14:textId="77777777" w:rsidR="00811528" w:rsidRPr="00811528" w:rsidRDefault="00811528" w:rsidP="008115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Scripts that execute predefined actions without situational awareness</w:t>
      </w:r>
    </w:p>
    <w:p w14:paraId="01526D17" w14:textId="77777777" w:rsidR="00811528" w:rsidRPr="00811528" w:rsidRDefault="00811528" w:rsidP="00811528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General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purpose LLM assistants that lack database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specific context</w:t>
      </w:r>
    </w:p>
    <w:p w14:paraId="0E3431FC" w14:textId="089CC0AF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While helpful, these approaches fail under the conditions that define enterprise Db2 environments: massive scale, heterogeneous deployments, strict governance, and zero tolerance for error.</w:t>
      </w:r>
      <w:r w:rsidR="00DD2700">
        <w:rPr>
          <w:rFonts w:asciiTheme="majorHAnsi" w:hAnsiTheme="majorHAnsi" w:cstheme="majorHAnsi"/>
          <w:color w:val="404040" w:themeColor="text1" w:themeTint="BF"/>
        </w:rPr>
        <w:t xml:space="preserve"> </w:t>
      </w:r>
      <w:r w:rsidRPr="00811528">
        <w:rPr>
          <w:rFonts w:asciiTheme="majorHAnsi" w:hAnsiTheme="majorHAnsi" w:cstheme="majorHAnsi"/>
          <w:color w:val="404040" w:themeColor="text1" w:themeTint="BF"/>
        </w:rPr>
        <w:t>Automation without context increases operational risk. Acting too late leads to outages; acting incorrectly can be worse than doing nothing at all.</w:t>
      </w:r>
    </w:p>
    <w:p w14:paraId="036E4826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Db2 Genius Hub addresses this gap by shifting from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t>rule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noBreakHyphen/>
        <w:t>driven automation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Fonts w:asciiTheme="majorHAnsi" w:hAnsiTheme="majorHAnsi" w:cstheme="majorHAnsi"/>
          <w:color w:val="404040" w:themeColor="text1" w:themeTint="BF"/>
        </w:rPr>
        <w:t>to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t>context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noBreakHyphen/>
        <w:t>aware, agentic systems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Fonts w:asciiTheme="majorHAnsi" w:hAnsiTheme="majorHAnsi" w:cstheme="majorHAnsi"/>
          <w:color w:val="404040" w:themeColor="text1" w:themeTint="BF"/>
        </w:rPr>
        <w:t>purpose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>built for Db2 estates.</w:t>
      </w:r>
    </w:p>
    <w:p w14:paraId="779A16F9" w14:textId="6D70485D" w:rsidR="00811528" w:rsidRPr="00811528" w:rsidRDefault="006E26D6">
      <w:pPr>
        <w:spacing w:after="24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E26D6">
        <w:rPr>
          <w:rFonts w:asciiTheme="majorHAnsi" w:hAnsiTheme="majorHAnsi" w:cstheme="majorHAnsi"/>
          <w:noProof/>
          <w:color w:val="000000"/>
          <w:sz w:val="24"/>
          <w:szCs w:val="24"/>
        </w:rPr>
        <w:pict w14:anchorId="314927E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34A4A1" w14:textId="77777777" w:rsidR="00811528" w:rsidRPr="00811528" w:rsidRDefault="00811528" w:rsidP="00811528">
      <w:pPr>
        <w:pStyle w:val="Heading2"/>
        <w:spacing w:line="300" w:lineRule="atLeast"/>
        <w:rPr>
          <w:rFonts w:cstheme="majorHAnsi"/>
          <w:color w:val="345B8B"/>
          <w:sz w:val="32"/>
          <w:szCs w:val="32"/>
        </w:rPr>
      </w:pPr>
      <w:r w:rsidRPr="00811528">
        <w:rPr>
          <w:rFonts w:cstheme="majorHAnsi"/>
          <w:color w:val="345B8B"/>
          <w:sz w:val="32"/>
          <w:szCs w:val="32"/>
        </w:rPr>
        <w:lastRenderedPageBreak/>
        <w:t>Agentic Operations: What Makes Db2 Genius Hub Different</w:t>
      </w:r>
    </w:p>
    <w:p w14:paraId="209C6D70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At its core, Db2 Genius Hub is an operational intelligence layer trained and tuned specifically for Db2. It continuously builds a rich operational graph that includes:</w:t>
      </w:r>
    </w:p>
    <w:p w14:paraId="2C1F16F7" w14:textId="77777777" w:rsidR="00811528" w:rsidRPr="00811528" w:rsidRDefault="00811528" w:rsidP="008115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Historical workload behavior</w:t>
      </w:r>
    </w:p>
    <w:p w14:paraId="3FC0BAD3" w14:textId="77777777" w:rsidR="00811528" w:rsidRPr="00811528" w:rsidRDefault="00811528" w:rsidP="008115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Configuration and tuning decisions</w:t>
      </w:r>
    </w:p>
    <w:p w14:paraId="5FCC1A3A" w14:textId="77777777" w:rsidR="00811528" w:rsidRPr="00811528" w:rsidRDefault="00811528" w:rsidP="008115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Incident patterns and root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cause knowledge</w:t>
      </w:r>
    </w:p>
    <w:p w14:paraId="3416FA4A" w14:textId="77777777" w:rsidR="00811528" w:rsidRPr="00811528" w:rsidRDefault="00811528" w:rsidP="00811528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Fleet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wide health trends across deployments</w:t>
      </w:r>
    </w:p>
    <w:p w14:paraId="708CACD7" w14:textId="77777777" w:rsid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This allows Genius Hub to function not as a chatbot or dashboard overlay, but as a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t>system of agents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Fonts w:asciiTheme="majorHAnsi" w:hAnsiTheme="majorHAnsi" w:cstheme="majorHAnsi"/>
          <w:color w:val="404040" w:themeColor="text1" w:themeTint="BF"/>
        </w:rPr>
        <w:t>working across three tightly integrated capabilities:</w:t>
      </w:r>
    </w:p>
    <w:p w14:paraId="1E6262A5" w14:textId="4F58583A" w:rsidR="00DD2700" w:rsidRPr="00811528" w:rsidRDefault="00DD2700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>
        <w:rPr>
          <w:rFonts w:asciiTheme="majorHAnsi" w:hAnsiTheme="majorHAnsi" w:cstheme="majorHAnsi"/>
          <w:noProof/>
          <w:color w:val="000000" w:themeColor="text1"/>
        </w:rPr>
        <w:drawing>
          <wp:inline distT="0" distB="0" distL="0" distR="0" wp14:anchorId="0B3D8D67" wp14:editId="27A8AC8A">
            <wp:extent cx="5486400" cy="2108200"/>
            <wp:effectExtent l="0" t="0" r="0" b="0"/>
            <wp:docPr id="502917376" name="Picture 3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7376" name="Picture 3" descr="A diagram of a computer system&#10;&#10;AI-generated content may be incorrect."/>
                    <pic:cNvPicPr/>
                  </pic:nvPicPr>
                  <pic:blipFill rotWithShape="1">
                    <a:blip r:embed="rId9"/>
                    <a:srcRect t="21180" b="21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0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6F07A" w14:textId="77777777" w:rsidR="00DD2700" w:rsidRDefault="00DD2700" w:rsidP="00811528">
      <w:pPr>
        <w:pStyle w:val="Heading3"/>
        <w:spacing w:line="300" w:lineRule="atLeast"/>
        <w:rPr>
          <w:rFonts w:cstheme="majorHAnsi"/>
          <w:color w:val="345B8B"/>
          <w:sz w:val="28"/>
          <w:szCs w:val="28"/>
        </w:rPr>
      </w:pPr>
    </w:p>
    <w:p w14:paraId="5FCFAAA4" w14:textId="0CEFE3E8" w:rsidR="00811528" w:rsidRPr="00811528" w:rsidRDefault="00811528" w:rsidP="00811528">
      <w:pPr>
        <w:pStyle w:val="Heading3"/>
        <w:spacing w:line="300" w:lineRule="atLeast"/>
        <w:rPr>
          <w:rFonts w:cstheme="majorHAnsi"/>
          <w:color w:val="345B8B"/>
          <w:sz w:val="28"/>
          <w:szCs w:val="28"/>
        </w:rPr>
      </w:pPr>
      <w:r w:rsidRPr="00811528">
        <w:rPr>
          <w:rFonts w:cstheme="majorHAnsi"/>
          <w:color w:val="345B8B"/>
          <w:sz w:val="28"/>
          <w:szCs w:val="28"/>
        </w:rPr>
        <w:t>1. Agentic Monitoring</w:t>
      </w:r>
    </w:p>
    <w:p w14:paraId="3CD23D0E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Instead of reacting to static thresholds, Genius Hub continuously analyzes behavioral patterns across the Db2 fleet. It detects anomalies in performance, capacity, and usage trends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Emphasis"/>
          <w:rFonts w:asciiTheme="majorHAnsi" w:eastAsiaTheme="majorEastAsia" w:hAnsiTheme="majorHAnsi" w:cstheme="majorHAnsi"/>
          <w:color w:val="404040" w:themeColor="text1" w:themeTint="BF"/>
        </w:rPr>
        <w:t>before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Fonts w:asciiTheme="majorHAnsi" w:hAnsiTheme="majorHAnsi" w:cstheme="majorHAnsi"/>
          <w:color w:val="404040" w:themeColor="text1" w:themeTint="BF"/>
        </w:rPr>
        <w:t>they manifest as incidents.</w:t>
      </w:r>
    </w:p>
    <w:p w14:paraId="687D1601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The key distinction is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t>pattern recognition at scale</w:t>
      </w:r>
      <w:r w:rsidRPr="00811528">
        <w:rPr>
          <w:rFonts w:asciiTheme="majorHAnsi" w:hAnsiTheme="majorHAnsi" w:cstheme="majorHAnsi"/>
          <w:color w:val="404040" w:themeColor="text1" w:themeTint="BF"/>
        </w:rPr>
        <w:t>, informed by years of Db2 operational knowledge—not generic statistical noise detection.</w:t>
      </w:r>
    </w:p>
    <w:p w14:paraId="21C20EFD" w14:textId="77777777" w:rsidR="00811528" w:rsidRPr="00811528" w:rsidRDefault="00811528" w:rsidP="00811528">
      <w:pPr>
        <w:pStyle w:val="Heading3"/>
        <w:spacing w:line="300" w:lineRule="atLeast"/>
        <w:rPr>
          <w:rFonts w:cstheme="majorHAnsi"/>
          <w:color w:val="345B8B"/>
          <w:sz w:val="28"/>
          <w:szCs w:val="28"/>
        </w:rPr>
      </w:pPr>
      <w:r w:rsidRPr="00811528">
        <w:rPr>
          <w:rFonts w:cstheme="majorHAnsi"/>
          <w:color w:val="345B8B"/>
          <w:sz w:val="28"/>
          <w:szCs w:val="28"/>
        </w:rPr>
        <w:t>2. Agentic Investigation</w:t>
      </w:r>
    </w:p>
    <w:p w14:paraId="2CC5C598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When anomalies emerge, Genius Hub performs multi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>step investigation automatically. It correlates logs, metrics, configuration history, and prior incidents to narrow down likely causes.</w:t>
      </w:r>
    </w:p>
    <w:p w14:paraId="3A3A2F36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lastRenderedPageBreak/>
        <w:t>This is fundamentally different from connecting an external LLM to logs. The intelligence lives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Emphasis"/>
          <w:rFonts w:asciiTheme="majorHAnsi" w:eastAsiaTheme="majorEastAsia" w:hAnsiTheme="majorHAnsi" w:cstheme="majorHAnsi"/>
          <w:color w:val="404040" w:themeColor="text1" w:themeTint="BF"/>
        </w:rPr>
        <w:t>with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Fonts w:asciiTheme="majorHAnsi" w:hAnsiTheme="majorHAnsi" w:cstheme="majorHAnsi"/>
          <w:color w:val="404040" w:themeColor="text1" w:themeTint="BF"/>
        </w:rPr>
        <w:t>the database, informed by domain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>specific expertise accumulated inside IBM and across Db2 deployments over decades.</w:t>
      </w:r>
    </w:p>
    <w:p w14:paraId="65320009" w14:textId="77777777" w:rsidR="00811528" w:rsidRPr="00811528" w:rsidRDefault="00811528" w:rsidP="00811528">
      <w:pPr>
        <w:pStyle w:val="Heading3"/>
        <w:spacing w:line="300" w:lineRule="atLeast"/>
        <w:rPr>
          <w:rFonts w:cstheme="majorHAnsi"/>
          <w:color w:val="345B8B"/>
          <w:sz w:val="28"/>
          <w:szCs w:val="28"/>
        </w:rPr>
      </w:pPr>
      <w:r w:rsidRPr="00811528">
        <w:rPr>
          <w:rFonts w:cstheme="majorHAnsi"/>
          <w:color w:val="345B8B"/>
          <w:sz w:val="28"/>
          <w:szCs w:val="28"/>
        </w:rPr>
        <w:t>3. Agentic Maintenance</w:t>
      </w:r>
    </w:p>
    <w:p w14:paraId="4A3835CE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Genius Hub goes beyond detection and diagnosis to perform—or recommend—remedial actions: updates, patches, health checks, capacity adjustments, and performance optimizations.</w:t>
      </w:r>
    </w:p>
    <w:p w14:paraId="69750630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Crucially, these capabilities are designed to operate initially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t>with humans in the loop</w:t>
      </w:r>
      <w:r w:rsidRPr="00811528">
        <w:rPr>
          <w:rFonts w:asciiTheme="majorHAnsi" w:hAnsiTheme="majorHAnsi" w:cstheme="majorHAnsi"/>
          <w:color w:val="404040" w:themeColor="text1" w:themeTint="BF"/>
        </w:rPr>
        <w:t>, supporting gradual trust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>building and governance alignment.</w:t>
      </w:r>
    </w:p>
    <w:p w14:paraId="5957BD2E" w14:textId="160171BE" w:rsidR="00811528" w:rsidRPr="00811528" w:rsidRDefault="006E26D6">
      <w:pPr>
        <w:spacing w:after="240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E26D6">
        <w:rPr>
          <w:rFonts w:asciiTheme="majorHAnsi" w:hAnsiTheme="majorHAnsi" w:cstheme="majorHAnsi"/>
          <w:noProof/>
          <w:color w:val="000000"/>
          <w:sz w:val="24"/>
          <w:szCs w:val="24"/>
        </w:rPr>
        <w:pict w14:anchorId="1D252EB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CC67815" w14:textId="77777777" w:rsidR="00811528" w:rsidRPr="00811528" w:rsidRDefault="00811528" w:rsidP="00811528">
      <w:pPr>
        <w:pStyle w:val="Heading2"/>
        <w:spacing w:line="300" w:lineRule="atLeast"/>
        <w:rPr>
          <w:rFonts w:cstheme="majorHAnsi"/>
          <w:color w:val="345B8B"/>
          <w:sz w:val="32"/>
          <w:szCs w:val="32"/>
        </w:rPr>
      </w:pPr>
      <w:r w:rsidRPr="00811528">
        <w:rPr>
          <w:rFonts w:cstheme="majorHAnsi"/>
          <w:color w:val="345B8B"/>
          <w:sz w:val="32"/>
          <w:szCs w:val="32"/>
        </w:rPr>
        <w:t>Why Context Beats General</w:t>
      </w:r>
      <w:r w:rsidRPr="00811528">
        <w:rPr>
          <w:rFonts w:cstheme="majorHAnsi"/>
          <w:color w:val="345B8B"/>
          <w:sz w:val="32"/>
          <w:szCs w:val="32"/>
        </w:rPr>
        <w:noBreakHyphen/>
        <w:t>Purpose AI</w:t>
      </w:r>
    </w:p>
    <w:p w14:paraId="44F9ACAC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General AI models excel at broad reasoning, but they lack the institutional memory that database operations require. They do not inherently know:</w:t>
      </w:r>
    </w:p>
    <w:p w14:paraId="396223AB" w14:textId="77777777" w:rsidR="00811528" w:rsidRPr="00811528" w:rsidRDefault="00811528" w:rsidP="008115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How Db2 behaves under specific workload mixes</w:t>
      </w:r>
    </w:p>
    <w:p w14:paraId="04FF2127" w14:textId="77777777" w:rsidR="00811528" w:rsidRPr="00811528" w:rsidRDefault="00811528" w:rsidP="008115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Which changes are safe in regulated environments</w:t>
      </w:r>
    </w:p>
    <w:p w14:paraId="4AA79A54" w14:textId="77777777" w:rsidR="00811528" w:rsidRPr="00811528" w:rsidRDefault="00811528" w:rsidP="00811528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How past operational decisions shaped current system state</w:t>
      </w:r>
    </w:p>
    <w:p w14:paraId="1AD85518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Db2 Genius Hub treats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t>context as a first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noBreakHyphen/>
        <w:t>class asset</w:t>
      </w:r>
      <w:r w:rsidRPr="00811528">
        <w:rPr>
          <w:rFonts w:asciiTheme="majorHAnsi" w:hAnsiTheme="majorHAnsi" w:cstheme="majorHAnsi"/>
          <w:color w:val="404040" w:themeColor="text1" w:themeTint="BF"/>
        </w:rPr>
        <w:t>. It accumulates knowledge over time—retaining operational history, system behavior, and causality—so recommendations improve continuously instead of starting fresh with every prompt.</w:t>
      </w:r>
    </w:p>
    <w:p w14:paraId="7845459E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In analyst discussions around modern data architectures, this idea is often described as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Emphasis"/>
          <w:rFonts w:asciiTheme="majorHAnsi" w:eastAsiaTheme="majorEastAsia" w:hAnsiTheme="majorHAnsi" w:cstheme="majorHAnsi"/>
          <w:color w:val="404040" w:themeColor="text1" w:themeTint="BF"/>
        </w:rPr>
        <w:t>context engineering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Fonts w:asciiTheme="majorHAnsi" w:hAnsiTheme="majorHAnsi" w:cstheme="majorHAnsi"/>
          <w:color w:val="404040" w:themeColor="text1" w:themeTint="BF"/>
        </w:rPr>
        <w:t>or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Emphasis"/>
          <w:rFonts w:asciiTheme="majorHAnsi" w:eastAsiaTheme="majorEastAsia" w:hAnsiTheme="majorHAnsi" w:cstheme="majorHAnsi"/>
          <w:color w:val="404040" w:themeColor="text1" w:themeTint="BF"/>
        </w:rPr>
        <w:t>context graphs</w:t>
      </w:r>
      <w:r w:rsidRPr="00811528">
        <w:rPr>
          <w:rFonts w:asciiTheme="majorHAnsi" w:hAnsiTheme="majorHAnsi" w:cstheme="majorHAnsi"/>
          <w:color w:val="404040" w:themeColor="text1" w:themeTint="BF"/>
        </w:rPr>
        <w:t>. Db2 Genius Hub operationalizes this concept for enterprise databases.</w:t>
      </w:r>
    </w:p>
    <w:p w14:paraId="448EC5BB" w14:textId="77777777" w:rsidR="00DD2700" w:rsidRPr="00811528" w:rsidRDefault="00DD2700" w:rsidP="00811528">
      <w:pPr>
        <w:pStyle w:val="NormalWeb"/>
        <w:spacing w:line="300" w:lineRule="atLeast"/>
        <w:rPr>
          <w:rFonts w:asciiTheme="majorHAnsi" w:hAnsiTheme="majorHAnsi" w:cstheme="majorHAnsi"/>
          <w:color w:val="000000"/>
        </w:rPr>
      </w:pPr>
    </w:p>
    <w:p w14:paraId="767BCB7C" w14:textId="77777777" w:rsidR="00811528" w:rsidRPr="00811528" w:rsidRDefault="006E26D6" w:rsidP="00811528">
      <w:pPr>
        <w:spacing w:line="300" w:lineRule="atLeast"/>
        <w:rPr>
          <w:rFonts w:asciiTheme="majorHAnsi" w:hAnsiTheme="majorHAnsi" w:cstheme="majorHAnsi"/>
          <w:color w:val="000000"/>
          <w:sz w:val="24"/>
          <w:szCs w:val="24"/>
        </w:rPr>
      </w:pPr>
      <w:r w:rsidRPr="006E26D6">
        <w:rPr>
          <w:rFonts w:asciiTheme="majorHAnsi" w:hAnsiTheme="majorHAnsi" w:cstheme="majorHAnsi"/>
          <w:noProof/>
          <w:color w:val="000000"/>
          <w:sz w:val="24"/>
          <w:szCs w:val="24"/>
        </w:rPr>
        <w:pict w14:anchorId="713503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3A4FAF" w14:textId="77777777" w:rsidR="00811528" w:rsidRPr="00811528" w:rsidRDefault="00811528" w:rsidP="00811528">
      <w:pPr>
        <w:pStyle w:val="Heading2"/>
        <w:spacing w:line="300" w:lineRule="atLeast"/>
        <w:rPr>
          <w:rFonts w:cstheme="majorHAnsi"/>
          <w:color w:val="345B8B"/>
          <w:sz w:val="32"/>
          <w:szCs w:val="32"/>
        </w:rPr>
      </w:pPr>
      <w:r w:rsidRPr="00811528">
        <w:rPr>
          <w:rFonts w:cstheme="majorHAnsi"/>
          <w:color w:val="345B8B"/>
          <w:sz w:val="32"/>
          <w:szCs w:val="32"/>
        </w:rPr>
        <w:t>Redefining the DBA Role in an Agentic World</w:t>
      </w:r>
    </w:p>
    <w:p w14:paraId="060F94D1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As operational heavy lifting becomes increasingly automated, the DBA role evolves—not disappears.</w:t>
      </w:r>
    </w:p>
    <w:p w14:paraId="1ECCB7CC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With Genius Hub managing repetitive, low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>value tasks, DBAs increasingly focus on:</w:t>
      </w:r>
    </w:p>
    <w:p w14:paraId="2EB3C47C" w14:textId="77777777" w:rsidR="00811528" w:rsidRPr="00811528" w:rsidRDefault="00811528" w:rsidP="008115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Style w:val="Strong"/>
          <w:rFonts w:asciiTheme="majorHAnsi" w:hAnsiTheme="majorHAnsi" w:cstheme="majorHAnsi"/>
          <w:color w:val="404040" w:themeColor="text1" w:themeTint="BF"/>
          <w:sz w:val="24"/>
          <w:szCs w:val="24"/>
        </w:rPr>
        <w:lastRenderedPageBreak/>
        <w:t>Architectural decision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making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  <w:sz w:val="24"/>
          <w:szCs w:val="24"/>
        </w:rPr>
        <w:t> 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across on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prem, hybrid, SaaS, and emerging serverless deployments</w:t>
      </w:r>
    </w:p>
    <w:p w14:paraId="41858570" w14:textId="77777777" w:rsidR="00811528" w:rsidRPr="00811528" w:rsidRDefault="00811528" w:rsidP="008115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Style w:val="Strong"/>
          <w:rFonts w:asciiTheme="majorHAnsi" w:hAnsiTheme="majorHAnsi" w:cstheme="majorHAnsi"/>
          <w:color w:val="404040" w:themeColor="text1" w:themeTint="BF"/>
          <w:sz w:val="24"/>
          <w:szCs w:val="24"/>
        </w:rPr>
        <w:t>Business alignment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, ensuring database behavior supports revenue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critical initiatives</w:t>
      </w:r>
    </w:p>
    <w:p w14:paraId="3A5D02F6" w14:textId="77777777" w:rsidR="00811528" w:rsidRPr="00811528" w:rsidRDefault="00811528" w:rsidP="008115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Style w:val="Strong"/>
          <w:rFonts w:asciiTheme="majorHAnsi" w:hAnsiTheme="majorHAnsi" w:cstheme="majorHAnsi"/>
          <w:color w:val="404040" w:themeColor="text1" w:themeTint="BF"/>
          <w:sz w:val="24"/>
          <w:szCs w:val="24"/>
        </w:rPr>
        <w:t>Cost and performance optimization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, balancing reliability with total cost of ownership</w:t>
      </w:r>
    </w:p>
    <w:p w14:paraId="1D477913" w14:textId="77777777" w:rsidR="00811528" w:rsidRPr="00811528" w:rsidRDefault="00811528" w:rsidP="0081152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Style w:val="Strong"/>
          <w:rFonts w:asciiTheme="majorHAnsi" w:hAnsiTheme="majorHAnsi" w:cstheme="majorHAnsi"/>
          <w:color w:val="404040" w:themeColor="text1" w:themeTint="BF"/>
          <w:sz w:val="24"/>
          <w:szCs w:val="24"/>
        </w:rPr>
        <w:t>Agent orchestration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, overseeing how intelligent agents operate across the Db2 estate</w:t>
      </w:r>
    </w:p>
    <w:p w14:paraId="59FCA258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Rather than responding to incidents after they occur, DBAs participate earlier in strategic decisions, armed with real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>time insight into how systems will behave under future workload scenarios.</w:t>
      </w:r>
    </w:p>
    <w:p w14:paraId="4BECFF02" w14:textId="77777777" w:rsidR="00811528" w:rsidRPr="00811528" w:rsidRDefault="006E26D6" w:rsidP="00811528">
      <w:pPr>
        <w:spacing w:line="300" w:lineRule="atLeast"/>
        <w:rPr>
          <w:rFonts w:asciiTheme="majorHAnsi" w:hAnsiTheme="majorHAnsi" w:cstheme="majorHAnsi"/>
          <w:color w:val="000000"/>
          <w:sz w:val="24"/>
          <w:szCs w:val="24"/>
        </w:rPr>
      </w:pPr>
      <w:r w:rsidRPr="006E26D6">
        <w:rPr>
          <w:rFonts w:asciiTheme="majorHAnsi" w:hAnsiTheme="majorHAnsi" w:cstheme="majorHAnsi"/>
          <w:noProof/>
          <w:color w:val="000000"/>
          <w:sz w:val="24"/>
          <w:szCs w:val="24"/>
        </w:rPr>
        <w:pict w14:anchorId="163451F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FFBEED" w14:textId="77777777" w:rsidR="00811528" w:rsidRPr="00811528" w:rsidRDefault="00811528" w:rsidP="00811528">
      <w:pPr>
        <w:pStyle w:val="Heading2"/>
        <w:spacing w:line="300" w:lineRule="atLeast"/>
        <w:rPr>
          <w:rFonts w:cstheme="majorHAnsi"/>
          <w:color w:val="345B8B"/>
          <w:sz w:val="32"/>
          <w:szCs w:val="32"/>
        </w:rPr>
      </w:pPr>
      <w:r w:rsidRPr="00811528">
        <w:rPr>
          <w:rFonts w:cstheme="majorHAnsi"/>
          <w:color w:val="345B8B"/>
          <w:sz w:val="32"/>
          <w:szCs w:val="32"/>
        </w:rPr>
        <w:t>The Path to Autonomous Databases Is Incremental—and Intentional</w:t>
      </w:r>
    </w:p>
    <w:p w14:paraId="374C63B6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Db2 Genius Hub does not promise full autonomy overnight. Enterprises running their most valuable data require trust, governance, and clear accountability.</w:t>
      </w:r>
    </w:p>
    <w:p w14:paraId="089A2040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The journey begins with:</w:t>
      </w:r>
    </w:p>
    <w:p w14:paraId="1BD3F6A4" w14:textId="77777777" w:rsidR="00811528" w:rsidRPr="00811528" w:rsidRDefault="00811528" w:rsidP="008115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Human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approved recommendations</w:t>
      </w:r>
    </w:p>
    <w:p w14:paraId="2DA9BEAE" w14:textId="77777777" w:rsidR="00811528" w:rsidRPr="00811528" w:rsidRDefault="00811528" w:rsidP="008115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Assisted execution with auditability</w:t>
      </w:r>
    </w:p>
    <w:p w14:paraId="6404EF87" w14:textId="77777777" w:rsidR="00811528" w:rsidRPr="00811528" w:rsidRDefault="00811528" w:rsidP="00811528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Selective autonomy in time</w:t>
      </w:r>
      <w:r w:rsidRPr="00811528">
        <w:rPr>
          <w:rFonts w:asciiTheme="majorHAnsi" w:hAnsiTheme="majorHAnsi" w:cstheme="majorHAnsi"/>
          <w:color w:val="404040" w:themeColor="text1" w:themeTint="BF"/>
          <w:sz w:val="24"/>
          <w:szCs w:val="24"/>
        </w:rPr>
        <w:noBreakHyphen/>
        <w:t>critical scenarios</w:t>
      </w:r>
    </w:p>
    <w:p w14:paraId="2C65F179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This phased approach reflects a core principle of enterprise AI adoption:</w:t>
      </w:r>
      <w:r w:rsidRPr="00811528">
        <w:rPr>
          <w:rStyle w:val="apple-converted-space"/>
          <w:rFonts w:asciiTheme="majorHAnsi" w:hAnsiTheme="majorHAnsi" w:cstheme="majorHAnsi"/>
          <w:color w:val="404040" w:themeColor="text1" w:themeTint="BF"/>
        </w:rPr>
        <w:t> </w:t>
      </w:r>
      <w:r w:rsidRPr="00811528">
        <w:rPr>
          <w:rStyle w:val="Strong"/>
          <w:rFonts w:asciiTheme="majorHAnsi" w:hAnsiTheme="majorHAnsi" w:cstheme="majorHAnsi"/>
          <w:color w:val="404040" w:themeColor="text1" w:themeTint="BF"/>
        </w:rPr>
        <w:t>autonomy must be earned through transparency, accuracy, and proven reliability</w:t>
      </w:r>
      <w:r w:rsidRPr="00811528">
        <w:rPr>
          <w:rFonts w:asciiTheme="majorHAnsi" w:hAnsiTheme="majorHAnsi" w:cstheme="majorHAnsi"/>
          <w:color w:val="404040" w:themeColor="text1" w:themeTint="BF"/>
        </w:rPr>
        <w:t>.</w:t>
      </w:r>
    </w:p>
    <w:p w14:paraId="5DED8A38" w14:textId="77777777" w:rsidR="00811528" w:rsidRPr="00811528" w:rsidRDefault="006E26D6" w:rsidP="00811528">
      <w:pPr>
        <w:spacing w:line="300" w:lineRule="atLeast"/>
        <w:rPr>
          <w:rFonts w:asciiTheme="majorHAnsi" w:hAnsiTheme="majorHAnsi" w:cstheme="majorHAnsi"/>
          <w:color w:val="000000"/>
          <w:sz w:val="24"/>
          <w:szCs w:val="24"/>
        </w:rPr>
      </w:pPr>
      <w:r w:rsidRPr="006E26D6">
        <w:rPr>
          <w:rFonts w:asciiTheme="majorHAnsi" w:hAnsiTheme="majorHAnsi" w:cstheme="majorHAnsi"/>
          <w:noProof/>
          <w:color w:val="000000"/>
          <w:sz w:val="24"/>
          <w:szCs w:val="24"/>
        </w:rPr>
        <w:pict w14:anchorId="242D50B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DC6952" w14:textId="77777777" w:rsidR="00811528" w:rsidRPr="00811528" w:rsidRDefault="00811528" w:rsidP="00811528">
      <w:pPr>
        <w:pStyle w:val="Heading2"/>
        <w:spacing w:line="300" w:lineRule="atLeast"/>
        <w:rPr>
          <w:rFonts w:cstheme="majorHAnsi"/>
          <w:color w:val="345B8B"/>
          <w:sz w:val="32"/>
          <w:szCs w:val="32"/>
        </w:rPr>
      </w:pPr>
      <w:r w:rsidRPr="00811528">
        <w:rPr>
          <w:rFonts w:cstheme="majorHAnsi"/>
          <w:color w:val="345B8B"/>
          <w:sz w:val="32"/>
          <w:szCs w:val="32"/>
        </w:rPr>
        <w:t>Why This Matters Now</w:t>
      </w:r>
    </w:p>
    <w:p w14:paraId="2EC16CF8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The pace of AI</w:t>
      </w:r>
      <w:r w:rsidRPr="00811528">
        <w:rPr>
          <w:rFonts w:asciiTheme="majorHAnsi" w:hAnsiTheme="majorHAnsi" w:cstheme="majorHAnsi"/>
          <w:color w:val="404040" w:themeColor="text1" w:themeTint="BF"/>
        </w:rPr>
        <w:noBreakHyphen/>
        <w:t>driven innovation across businesses has accelerated dramatically. Workloads spike unpredictably. Expectations for availability continue to rise. Meanwhile, experienced DBAs are harder to find and increasingly expensive to retain.</w:t>
      </w:r>
    </w:p>
    <w:p w14:paraId="4D7E3B70" w14:textId="77777777" w:rsidR="00811528" w:rsidRP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Db2 Genius Hub arrives at a moment when operational excellence can no longer rely on human vigilance alone.</w:t>
      </w:r>
    </w:p>
    <w:p w14:paraId="7EBB0D41" w14:textId="77777777" w:rsidR="00811528" w:rsidRDefault="0081152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811528">
        <w:rPr>
          <w:rFonts w:asciiTheme="majorHAnsi" w:hAnsiTheme="majorHAnsi" w:cstheme="majorHAnsi"/>
          <w:color w:val="404040" w:themeColor="text1" w:themeTint="BF"/>
        </w:rPr>
        <w:t>By embedding agentic intelligence directly into the database platform, IBM is extending Db2’s legacy of enterprise trust into the AI era—transforming operations from reactive maintenance into proactive, intelligent control.</w:t>
      </w:r>
    </w:p>
    <w:p w14:paraId="7DCCA41F" w14:textId="61FE8592" w:rsidR="00B777F8" w:rsidRPr="00B777F8" w:rsidRDefault="00B777F8" w:rsidP="00811528">
      <w:pPr>
        <w:pStyle w:val="NormalWeb"/>
        <w:spacing w:line="300" w:lineRule="atLeast"/>
        <w:rPr>
          <w:rFonts w:asciiTheme="majorHAnsi" w:hAnsiTheme="majorHAnsi" w:cstheme="majorHAnsi"/>
          <w:color w:val="404040" w:themeColor="text1" w:themeTint="BF"/>
        </w:rPr>
      </w:pPr>
      <w:r w:rsidRPr="00B777F8">
        <w:rPr>
          <w:rFonts w:asciiTheme="majorHAnsi" w:hAnsiTheme="majorHAnsi" w:cstheme="majorHAnsi"/>
        </w:rPr>
        <w:t xml:space="preserve">Sign up for </w:t>
      </w:r>
      <w:r>
        <w:rPr>
          <w:rFonts w:asciiTheme="majorHAnsi" w:hAnsiTheme="majorHAnsi" w:cstheme="majorHAnsi"/>
        </w:rPr>
        <w:t xml:space="preserve">a </w:t>
      </w:r>
      <w:r w:rsidRPr="00B777F8">
        <w:rPr>
          <w:rFonts w:asciiTheme="majorHAnsi" w:hAnsiTheme="majorHAnsi" w:cstheme="majorHAnsi"/>
        </w:rPr>
        <w:t>free trial</w:t>
      </w:r>
      <w:r>
        <w:rPr>
          <w:rFonts w:asciiTheme="majorHAnsi" w:hAnsiTheme="majorHAnsi" w:cstheme="majorHAnsi"/>
        </w:rPr>
        <w:t xml:space="preserve"> at:</w:t>
      </w:r>
      <w:r w:rsidRPr="00B777F8">
        <w:rPr>
          <w:rFonts w:asciiTheme="majorHAnsi" w:hAnsiTheme="majorHAnsi" w:cstheme="majorHAnsi"/>
        </w:rPr>
        <w:t xml:space="preserve">  </w:t>
      </w:r>
      <w:hyperlink r:id="rId10" w:tgtFrame="_blank" w:history="1">
        <w:r w:rsidRPr="00B777F8">
          <w:rPr>
            <w:rStyle w:val="Hyperlink"/>
            <w:rFonts w:asciiTheme="majorHAnsi" w:hAnsiTheme="majorHAnsi" w:cstheme="majorHAnsi"/>
            <w:color w:val="1264A3"/>
          </w:rPr>
          <w:t>https://early-access.ibm.com/software/support/trial/cst/programwebsite.wss?siteId=2220&amp;h=null&amp;p=null</w:t>
        </w:r>
      </w:hyperlink>
    </w:p>
    <w:p w14:paraId="0450C297" w14:textId="77777777" w:rsidR="00DD2700" w:rsidRPr="00811528" w:rsidRDefault="006E26D6" w:rsidP="00DD2700">
      <w:pPr>
        <w:spacing w:line="300" w:lineRule="atLeast"/>
        <w:rPr>
          <w:rFonts w:asciiTheme="majorHAnsi" w:hAnsiTheme="majorHAnsi" w:cstheme="majorHAnsi"/>
          <w:color w:val="000000"/>
          <w:sz w:val="24"/>
          <w:szCs w:val="24"/>
        </w:rPr>
      </w:pPr>
      <w:r w:rsidRPr="006E26D6">
        <w:rPr>
          <w:rFonts w:asciiTheme="majorHAnsi" w:hAnsiTheme="majorHAnsi" w:cstheme="majorHAnsi"/>
          <w:noProof/>
          <w:color w:val="000000"/>
          <w:sz w:val="24"/>
          <w:szCs w:val="24"/>
        </w:rPr>
        <w:lastRenderedPageBreak/>
        <w:pict w14:anchorId="0678A0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45D620" w14:textId="1D78DF80" w:rsidR="00DD2700" w:rsidRPr="00811528" w:rsidRDefault="00DD2700" w:rsidP="00DD2700">
      <w:pPr>
        <w:pStyle w:val="Heading2"/>
        <w:spacing w:line="300" w:lineRule="atLeast"/>
        <w:rPr>
          <w:rFonts w:cstheme="majorHAnsi"/>
          <w:color w:val="345B8B"/>
          <w:sz w:val="32"/>
          <w:szCs w:val="32"/>
        </w:rPr>
      </w:pPr>
      <w:r>
        <w:rPr>
          <w:rFonts w:cstheme="majorHAnsi"/>
          <w:color w:val="345B8B"/>
          <w:sz w:val="32"/>
          <w:szCs w:val="32"/>
        </w:rPr>
        <w:t>About the Authors</w:t>
      </w:r>
    </w:p>
    <w:p w14:paraId="1FD94C26" w14:textId="55FC6D8B" w:rsidR="00DD2700" w:rsidRPr="009808EA" w:rsidRDefault="00DD2700" w:rsidP="00DD2700">
      <w:pPr>
        <w:spacing w:after="240" w:line="240" w:lineRule="auto"/>
        <w:rPr>
          <w:rFonts w:ascii="Calibri" w:eastAsia="Calibri" w:hAnsi="Calibri" w:cs="Calibri"/>
          <w:sz w:val="24"/>
          <w:szCs w:val="24"/>
          <w:lang w:val="en-CA"/>
        </w:rPr>
      </w:pPr>
      <w:r>
        <w:rPr>
          <w:rFonts w:asciiTheme="majorHAnsi" w:hAnsiTheme="majorHAnsi" w:cstheme="majorHAnsi"/>
          <w:sz w:val="24"/>
          <w:szCs w:val="24"/>
        </w:rPr>
        <w:br/>
      </w:r>
      <w:r w:rsidRPr="00DD270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Jana </w:t>
      </w:r>
      <w:r w:rsidRPr="00DD270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J </w:t>
      </w:r>
      <w:r w:rsidRPr="00DD2700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Wong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is 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>a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principal performance focal for 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>Db2 LUW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at the IBM Silicon Valley Lab, with over 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>20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years of experience in Databases, SQL, QA, and Project Management. She 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also leads the external outreach and product enablement efforts across Data Core Products. </w:t>
      </w:r>
      <w:r w:rsidRPr="00DD2700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Jana can be reached at </w:t>
      </w:r>
      <w:hyperlink r:id="rId11">
        <w:r w:rsidRPr="009808EA">
          <w:rPr>
            <w:rStyle w:val="Hyperlink"/>
            <w:rFonts w:ascii="Calibri" w:eastAsia="Calibri" w:hAnsi="Calibri" w:cs="Calibri"/>
            <w:sz w:val="24"/>
            <w:szCs w:val="24"/>
          </w:rPr>
          <w:t>jfitzge@us.ibm.com</w:t>
        </w:r>
      </w:hyperlink>
      <w:r w:rsidRPr="009808EA">
        <w:rPr>
          <w:rFonts w:ascii="Calibri" w:eastAsia="Calibri" w:hAnsi="Calibri" w:cs="Calibri"/>
          <w:sz w:val="24"/>
          <w:szCs w:val="24"/>
        </w:rPr>
        <w:t>.</w:t>
      </w:r>
    </w:p>
    <w:p w14:paraId="45E58CA4" w14:textId="6E4B1968" w:rsidR="0057116E" w:rsidRPr="00811528" w:rsidRDefault="0057116E">
      <w:pPr>
        <w:spacing w:after="240"/>
        <w:rPr>
          <w:rFonts w:asciiTheme="majorHAnsi" w:hAnsiTheme="majorHAnsi" w:cstheme="majorHAnsi"/>
          <w:sz w:val="24"/>
          <w:szCs w:val="24"/>
        </w:rPr>
      </w:pPr>
    </w:p>
    <w:sectPr w:rsidR="0057116E" w:rsidRPr="00811528" w:rsidSect="00DD2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960DB"/>
    <w:multiLevelType w:val="multilevel"/>
    <w:tmpl w:val="05D6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00E07"/>
    <w:multiLevelType w:val="multilevel"/>
    <w:tmpl w:val="BF20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327DE"/>
    <w:multiLevelType w:val="multilevel"/>
    <w:tmpl w:val="362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D7238"/>
    <w:multiLevelType w:val="multilevel"/>
    <w:tmpl w:val="1C1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2480C"/>
    <w:multiLevelType w:val="multilevel"/>
    <w:tmpl w:val="6CF4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9622403">
    <w:abstractNumId w:val="8"/>
  </w:num>
  <w:num w:numId="2" w16cid:durableId="398328835">
    <w:abstractNumId w:val="6"/>
  </w:num>
  <w:num w:numId="3" w16cid:durableId="1949464583">
    <w:abstractNumId w:val="5"/>
  </w:num>
  <w:num w:numId="4" w16cid:durableId="909998514">
    <w:abstractNumId w:val="4"/>
  </w:num>
  <w:num w:numId="5" w16cid:durableId="912739647">
    <w:abstractNumId w:val="7"/>
  </w:num>
  <w:num w:numId="6" w16cid:durableId="753283287">
    <w:abstractNumId w:val="3"/>
  </w:num>
  <w:num w:numId="7" w16cid:durableId="179247914">
    <w:abstractNumId w:val="2"/>
  </w:num>
  <w:num w:numId="8" w16cid:durableId="1037002938">
    <w:abstractNumId w:val="1"/>
  </w:num>
  <w:num w:numId="9" w16cid:durableId="497159920">
    <w:abstractNumId w:val="0"/>
  </w:num>
  <w:num w:numId="10" w16cid:durableId="570194137">
    <w:abstractNumId w:val="11"/>
  </w:num>
  <w:num w:numId="11" w16cid:durableId="329332862">
    <w:abstractNumId w:val="9"/>
  </w:num>
  <w:num w:numId="12" w16cid:durableId="1376546303">
    <w:abstractNumId w:val="13"/>
  </w:num>
  <w:num w:numId="13" w16cid:durableId="1707757699">
    <w:abstractNumId w:val="10"/>
  </w:num>
  <w:num w:numId="14" w16cid:durableId="16882941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116E"/>
    <w:rsid w:val="005C384F"/>
    <w:rsid w:val="006E26D6"/>
    <w:rsid w:val="00732E96"/>
    <w:rsid w:val="00811528"/>
    <w:rsid w:val="00AA1D8D"/>
    <w:rsid w:val="00B47730"/>
    <w:rsid w:val="00B777F8"/>
    <w:rsid w:val="00CB0664"/>
    <w:rsid w:val="00DD27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F9825A"/>
  <w14:defaultImageDpi w14:val="300"/>
  <w15:docId w15:val="{F2AEB473-8DFF-3248-9E44-7F83DAB5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11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11528"/>
  </w:style>
  <w:style w:type="character" w:styleId="Hyperlink">
    <w:name w:val="Hyperlink"/>
    <w:basedOn w:val="DefaultParagraphFont"/>
    <w:uiPriority w:val="99"/>
    <w:unhideWhenUsed/>
    <w:rsid w:val="0081152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EGKuuHZLAV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mailto:jfitzge@us.ibm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arly-access.ibm.com/software/support/trial/cst/programwebsite.wss?siteId=2220&amp;h=null&amp;p=nu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671</Words>
  <Characters>6484</Characters>
  <Application>Microsoft Office Word</Application>
  <DocSecurity>0</DocSecurity>
  <Lines>324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 WONG</cp:lastModifiedBy>
  <cp:revision>2</cp:revision>
  <dcterms:created xsi:type="dcterms:W3CDTF">2026-04-24T23:24:00Z</dcterms:created>
  <dcterms:modified xsi:type="dcterms:W3CDTF">2026-04-24T23:24:00Z</dcterms:modified>
  <cp:category/>
</cp:coreProperties>
</file>