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D85C2A" w14:textId="20F3AD98" w:rsidR="00F518A0" w:rsidRDefault="55E02F95" w:rsidP="55E02F95">
      <w:pPr>
        <w:pStyle w:val="Heading2"/>
        <w:shd w:val="clear" w:color="auto" w:fill="FFFFFF" w:themeFill="background1"/>
        <w:spacing w:before="0" w:after="240"/>
      </w:pPr>
      <w:r w:rsidRPr="55E02F95">
        <w:rPr>
          <w:rFonts w:ascii="IBM Plex Sans" w:eastAsia="IBM Plex Sans" w:hAnsi="IBM Plex Sans" w:cs="IBM Plex Sans"/>
          <w:color w:val="000000" w:themeColor="text1"/>
          <w:sz w:val="48"/>
          <w:szCs w:val="48"/>
        </w:rPr>
        <w:t>Simplifying Enterprise Authentication with Kerberos in IBM Db2 Genius Hub</w:t>
      </w:r>
    </w:p>
    <w:p w14:paraId="2C078E63" w14:textId="0BA99C0B" w:rsidR="00F518A0" w:rsidRDefault="00F518A0"/>
    <w:p w14:paraId="3AD392D5" w14:textId="16D945C9" w:rsidR="55E02F95" w:rsidRDefault="55E02F95" w:rsidP="55E02F95">
      <w:r>
        <w:rPr>
          <w:noProof/>
        </w:rPr>
        <w:drawing>
          <wp:inline distT="0" distB="0" distL="0" distR="0" wp14:anchorId="3E167039" wp14:editId="5C5ED34D">
            <wp:extent cx="5943600" cy="2971800"/>
            <wp:effectExtent l="0" t="0" r="0" b="0"/>
            <wp:docPr id="1963215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15288" name="Picture 1963215288"/>
                    <pic:cNvPicPr/>
                  </pic:nvPicPr>
                  <pic:blipFill>
                    <a:blip r:embed="rId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552ED93B" w14:textId="2F854345" w:rsidR="55E02F95" w:rsidRDefault="55E02F95"/>
    <w:p w14:paraId="175D4B41" w14:textId="49C50767"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Enterprise applications are expected to integrate seamlessly with an organisation's existing identity infrastructure. Maintaining separate application users and passwords not only increases administrative overhead but also introduces additional security risks.</w:t>
      </w:r>
    </w:p>
    <w:p w14:paraId="36CD747B" w14:textId="0897257D"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Most enterprises already rely on centralised authentication systems such as Active Directory or LDAP (Light-weight Directory Access Protocol) backed by Kerberos. Users authenticate once using their enterprise credentials and securely access multiple applications without managing separate passwords.</w:t>
      </w:r>
    </w:p>
    <w:p w14:paraId="642D4577" w14:textId="740B5333" w:rsidR="55E02F95" w:rsidRDefault="55E02F95" w:rsidP="55E02F95">
      <w:pPr>
        <w:shd w:val="clear" w:color="auto" w:fill="FFFFFF" w:themeFill="background1"/>
        <w:spacing w:after="15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IBM Db2 Genius Hub now extends this experience by introducing Kerberos Authentication, allowing organisations to leverage their existing authentication infrastructure while maintaining centralised authorisation through LDAP.</w:t>
      </w:r>
      <w:r>
        <w:br/>
      </w:r>
      <w:r>
        <w:lastRenderedPageBreak/>
        <w:br/>
      </w:r>
      <w:r>
        <w:br/>
      </w:r>
    </w:p>
    <w:p w14:paraId="005F1FC6" w14:textId="45374DCA" w:rsidR="55E02F95" w:rsidRDefault="55E02F95" w:rsidP="55E02F95">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55E02F95">
        <w:rPr>
          <w:rFonts w:ascii="IBM Plex Sans" w:eastAsia="IBM Plex Sans" w:hAnsi="IBM Plex Sans" w:cs="IBM Plex Sans"/>
          <w:b/>
          <w:bCs/>
          <w:color w:val="000000" w:themeColor="text1"/>
          <w:sz w:val="27"/>
          <w:szCs w:val="27"/>
        </w:rPr>
        <w:t>Why Kerberos?</w:t>
      </w:r>
    </w:p>
    <w:p w14:paraId="1055C34E" w14:textId="50F2650A"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Managing application users locally works for small deployments, but it quickly becomes difficult in enterprise environments.</w:t>
      </w:r>
    </w:p>
    <w:p w14:paraId="0D20C941" w14:textId="3CDC0CBE"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 xml:space="preserve">Administrators often </w:t>
      </w:r>
      <w:proofErr w:type="gramStart"/>
      <w:r w:rsidRPr="55E02F95">
        <w:rPr>
          <w:rFonts w:ascii="IBM Plex Sans" w:eastAsia="IBM Plex Sans" w:hAnsi="IBM Plex Sans" w:cs="IBM Plex Sans"/>
          <w:color w:val="000000" w:themeColor="text1"/>
          <w:sz w:val="27"/>
          <w:szCs w:val="27"/>
        </w:rPr>
        <w:t>needs</w:t>
      </w:r>
      <w:proofErr w:type="gramEnd"/>
      <w:r w:rsidRPr="55E02F95">
        <w:rPr>
          <w:rFonts w:ascii="IBM Plex Sans" w:eastAsia="IBM Plex Sans" w:hAnsi="IBM Plex Sans" w:cs="IBM Plex Sans"/>
          <w:color w:val="000000" w:themeColor="text1"/>
          <w:sz w:val="27"/>
          <w:szCs w:val="27"/>
        </w:rPr>
        <w:t xml:space="preserve"> to:</w:t>
      </w:r>
    </w:p>
    <w:p w14:paraId="6ACCD64B" w14:textId="3840FEA5" w:rsidR="55E02F95" w:rsidRDefault="55E02F95" w:rsidP="55E02F95">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Provide Single Sign-On (SSO) for users</w:t>
      </w:r>
    </w:p>
    <w:p w14:paraId="47926C13" w14:textId="32F9153C" w:rsidR="55E02F95" w:rsidRDefault="55E02F95" w:rsidP="55E02F95">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Centralise identity management</w:t>
      </w:r>
    </w:p>
    <w:p w14:paraId="7B04EF85" w14:textId="29210CDE" w:rsidR="55E02F95" w:rsidRDefault="55E02F95" w:rsidP="55E02F95">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Integrate with Active Directory or OpenLDAP</w:t>
      </w:r>
    </w:p>
    <w:p w14:paraId="44958004" w14:textId="2CBDA33E" w:rsidR="55E02F95" w:rsidRDefault="55E02F95" w:rsidP="55E02F95">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Manage permissions using existing LDAP groups</w:t>
      </w:r>
    </w:p>
    <w:p w14:paraId="41167D1D" w14:textId="3653ABE0" w:rsidR="55E02F95" w:rsidRDefault="55E02F95" w:rsidP="55E02F95">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Eliminate the need to maintain separate application credentials</w:t>
      </w:r>
    </w:p>
    <w:p w14:paraId="3BCA6089" w14:textId="31783588"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Rather than introducing another identity store, Db2 Genius Hub integrates directly with your existing Kerberos and LDAP infrastructure, allowing authentication and authorisation to remain under enterprise control.</w:t>
      </w:r>
    </w:p>
    <w:p w14:paraId="28524DF0" w14:textId="536C3AB9" w:rsidR="55E02F95" w:rsidRDefault="55E02F95" w:rsidP="55E02F95">
      <w:pPr>
        <w:pStyle w:val="Heading3"/>
        <w:shd w:val="clear" w:color="auto" w:fill="FFFFFF" w:themeFill="background1"/>
        <w:spacing w:before="0" w:after="45"/>
      </w:pPr>
    </w:p>
    <w:p w14:paraId="11C8F3B6" w14:textId="67256D51" w:rsidR="55E02F95" w:rsidRDefault="55E02F95" w:rsidP="55E02F95">
      <w:pPr>
        <w:pStyle w:val="Heading3"/>
        <w:shd w:val="clear" w:color="auto" w:fill="FFFFFF" w:themeFill="background1"/>
        <w:spacing w:before="0" w:after="45"/>
      </w:pPr>
    </w:p>
    <w:p w14:paraId="1D705ABB" w14:textId="1D9DFCAA" w:rsidR="55E02F95" w:rsidRDefault="55E02F95" w:rsidP="55E02F95">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55E02F95">
        <w:rPr>
          <w:rFonts w:ascii="IBM Plex Sans" w:eastAsia="IBM Plex Sans" w:hAnsi="IBM Plex Sans" w:cs="IBM Plex Sans"/>
          <w:b/>
          <w:bCs/>
          <w:color w:val="000000" w:themeColor="text1"/>
          <w:sz w:val="27"/>
          <w:szCs w:val="27"/>
        </w:rPr>
        <w:t>How Kerberos Authentication Works?</w:t>
      </w:r>
    </w:p>
    <w:p w14:paraId="2B45EBF8" w14:textId="2CA64133"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The authentication process combines two enterprise technologies that work together.</w:t>
      </w:r>
    </w:p>
    <w:p w14:paraId="53D05F95" w14:textId="2CF0A444" w:rsidR="55E02F95" w:rsidRDefault="55E02F95" w:rsidP="55E02F95">
      <w:pPr>
        <w:pStyle w:val="ListParagraph"/>
        <w:numPr>
          <w:ilvl w:val="0"/>
          <w:numId w:val="9"/>
        </w:numPr>
        <w:shd w:val="clear" w:color="auto" w:fill="FFFFFF" w:themeFill="background1"/>
        <w:spacing w:before="270" w:after="27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Kerberos verifies the identity of the user through the organisation's Key Distribution Center (KDC).</w:t>
      </w:r>
    </w:p>
    <w:p w14:paraId="55CF3FD3" w14:textId="3BF68AE3" w:rsidR="55E02F95" w:rsidRDefault="55E02F95" w:rsidP="55E02F95">
      <w:pPr>
        <w:pStyle w:val="ListParagraph"/>
        <w:numPr>
          <w:ilvl w:val="0"/>
          <w:numId w:val="9"/>
        </w:numPr>
        <w:shd w:val="clear" w:color="auto" w:fill="FFFFFF" w:themeFill="background1"/>
        <w:spacing w:before="270" w:after="27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Once authentication succeeds, LDAP retrieves the user's directory information and determines which groups the user belongs to.</w:t>
      </w:r>
    </w:p>
    <w:p w14:paraId="79A62A0D" w14:textId="2F97329B"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Db2 Genius Hub then maps those LDAP groups to application roles such as:</w:t>
      </w:r>
    </w:p>
    <w:p w14:paraId="02CE2628" w14:textId="58CB2619" w:rsidR="55E02F95" w:rsidRDefault="55E02F95" w:rsidP="55E02F95">
      <w:pPr>
        <w:pStyle w:val="ListParagraph"/>
        <w:numPr>
          <w:ilvl w:val="0"/>
          <w:numId w:val="8"/>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Console Administrator</w:t>
      </w:r>
    </w:p>
    <w:p w14:paraId="71392DFA" w14:textId="50DAB4F5" w:rsidR="55E02F95" w:rsidRDefault="55E02F95" w:rsidP="55E02F95">
      <w:pPr>
        <w:pStyle w:val="ListParagraph"/>
        <w:numPr>
          <w:ilvl w:val="0"/>
          <w:numId w:val="8"/>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Database Administrator</w:t>
      </w:r>
    </w:p>
    <w:p w14:paraId="4D59347C" w14:textId="2EC364EC" w:rsidR="55E02F95" w:rsidRDefault="55E02F95" w:rsidP="55E02F95">
      <w:pPr>
        <w:pStyle w:val="ListParagraph"/>
        <w:numPr>
          <w:ilvl w:val="0"/>
          <w:numId w:val="8"/>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Database User</w:t>
      </w:r>
    </w:p>
    <w:p w14:paraId="6BDA265C" w14:textId="77551BEE"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lastRenderedPageBreak/>
        <w:t>This approach keeps authentication and authorisation separate while allowing organisations to continue using their existing directory structure.</w:t>
      </w:r>
    </w:p>
    <w:p w14:paraId="168D7F13" w14:textId="356E912C" w:rsidR="55E02F95" w:rsidRDefault="55E02F95" w:rsidP="55E02F95">
      <w:pPr>
        <w:pStyle w:val="Heading3"/>
        <w:shd w:val="clear" w:color="auto" w:fill="FFFFFF" w:themeFill="background1"/>
        <w:spacing w:before="0" w:after="45"/>
      </w:pPr>
    </w:p>
    <w:p w14:paraId="506974EE" w14:textId="23A57615" w:rsidR="55E02F95" w:rsidRDefault="55E02F95" w:rsidP="55E02F95">
      <w:pPr>
        <w:pStyle w:val="Heading3"/>
        <w:shd w:val="clear" w:color="auto" w:fill="FFFFFF" w:themeFill="background1"/>
        <w:spacing w:before="0" w:after="45"/>
      </w:pPr>
    </w:p>
    <w:p w14:paraId="32654D7C" w14:textId="168152DC" w:rsidR="55E02F95" w:rsidRDefault="55E02F95" w:rsidP="55E02F95">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55E02F95">
        <w:rPr>
          <w:rFonts w:ascii="IBM Plex Sans" w:eastAsia="IBM Plex Sans" w:hAnsi="IBM Plex Sans" w:cs="IBM Plex Sans"/>
          <w:b/>
          <w:bCs/>
          <w:color w:val="000000" w:themeColor="text1"/>
          <w:sz w:val="27"/>
          <w:szCs w:val="27"/>
        </w:rPr>
        <w:t>Guided Configuration in Db2 Genius Hub</w:t>
      </w:r>
    </w:p>
    <w:p w14:paraId="15EF27CF" w14:textId="0E37EFF6"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Kerberos configuration is available from:</w:t>
      </w:r>
    </w:p>
    <w:p w14:paraId="3A746FD2" w14:textId="7D7DB1DF"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Administration → Authentication → Kerberos</w:t>
      </w:r>
    </w:p>
    <w:p w14:paraId="02D01BE9" w14:textId="72C337DB" w:rsidR="55E02F95" w:rsidRDefault="55E02F95" w:rsidP="55E02F95">
      <w:pPr>
        <w:shd w:val="clear" w:color="auto" w:fill="FFFFFF" w:themeFill="background1"/>
        <w:spacing w:after="0"/>
      </w:pPr>
      <w:r>
        <w:rPr>
          <w:noProof/>
        </w:rPr>
        <w:drawing>
          <wp:inline distT="0" distB="0" distL="0" distR="0" wp14:anchorId="01638802" wp14:editId="1D42ABB4">
            <wp:extent cx="5943600" cy="3314700"/>
            <wp:effectExtent l="0" t="0" r="0" b="0"/>
            <wp:docPr id="1929591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91967" name="Picture 1929591967"/>
                    <pic:cNvPicPr/>
                  </pic:nvPicPr>
                  <pic:blipFill>
                    <a:blip r:embed="rId6">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br/>
      </w:r>
    </w:p>
    <w:p w14:paraId="6B58C3CF" w14:textId="30FF5471" w:rsidR="55E02F95" w:rsidRDefault="55E02F95" w:rsidP="55E02F95">
      <w:pPr>
        <w:shd w:val="clear" w:color="auto" w:fill="FFFFFF" w:themeFill="background1"/>
        <w:spacing w:after="0"/>
      </w:pPr>
    </w:p>
    <w:p w14:paraId="4B93B588" w14:textId="55354393" w:rsidR="55E02F95" w:rsidRDefault="55E02F95" w:rsidP="55E02F95">
      <w:pPr>
        <w:shd w:val="clear" w:color="auto" w:fill="FFFFFF" w:themeFill="background1"/>
        <w:spacing w:after="0"/>
      </w:pPr>
      <w:r>
        <w:rPr>
          <w:noProof/>
        </w:rPr>
        <w:lastRenderedPageBreak/>
        <w:drawing>
          <wp:inline distT="0" distB="0" distL="0" distR="0" wp14:anchorId="69841DB7" wp14:editId="6202E1F8">
            <wp:extent cx="5943600" cy="3314700"/>
            <wp:effectExtent l="0" t="0" r="0" b="0"/>
            <wp:docPr id="1843519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19772" name="Picture 1843519772"/>
                    <pic:cNvPicPr/>
                  </pic:nvPicPr>
                  <pic:blipFill>
                    <a:blip r:embed="rId7">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14:paraId="0BD56541" w14:textId="48C71042" w:rsidR="55E02F95" w:rsidRDefault="55E02F95" w:rsidP="55E02F95">
      <w:p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 xml:space="preserve"> </w:t>
      </w:r>
      <w:r>
        <w:br/>
      </w:r>
      <w:r>
        <w:rPr>
          <w:noProof/>
        </w:rPr>
        <w:drawing>
          <wp:inline distT="0" distB="0" distL="0" distR="0" wp14:anchorId="58DA8A45" wp14:editId="78282344">
            <wp:extent cx="5943600" cy="3314700"/>
            <wp:effectExtent l="0" t="0" r="0" b="0"/>
            <wp:docPr id="1142007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07174" name="Picture 1142007174"/>
                    <pic:cNvPicPr/>
                  </pic:nvPicPr>
                  <pic:blipFill>
                    <a:blip r:embed="rId8">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br/>
      </w:r>
      <w:r>
        <w:br/>
      </w:r>
    </w:p>
    <w:p w14:paraId="1DEC5257" w14:textId="00B5F8B0"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Instead of presenting every setting on a single page, the configuration is organized into a guided three-step workflow that validates each stage before moving forward.</w:t>
      </w:r>
    </w:p>
    <w:p w14:paraId="125A9B4B" w14:textId="2CF1D9C8" w:rsidR="55E02F95" w:rsidRDefault="55E02F95" w:rsidP="55E02F95">
      <w:pPr>
        <w:shd w:val="clear" w:color="auto" w:fill="FFFFFF" w:themeFill="background1"/>
        <w:spacing w:after="150"/>
      </w:pPr>
    </w:p>
    <w:p w14:paraId="40AA7974" w14:textId="06F89E44" w:rsidR="55E02F95" w:rsidRDefault="55E02F95" w:rsidP="55E02F95">
      <w:pPr>
        <w:shd w:val="clear" w:color="auto" w:fill="FFFFFF" w:themeFill="background1"/>
        <w:spacing w:after="150"/>
      </w:pPr>
    </w:p>
    <w:p w14:paraId="693C5BBF" w14:textId="7AFC20BD" w:rsidR="55E02F95" w:rsidRDefault="55E02F95" w:rsidP="55E02F95">
      <w:pPr>
        <w:shd w:val="clear" w:color="auto" w:fill="FFFFFF" w:themeFill="background1"/>
        <w:spacing w:after="150"/>
        <w:rPr>
          <w:rFonts w:ascii="IBM Plex Sans" w:eastAsia="IBM Plex Sans" w:hAnsi="IBM Plex Sans" w:cs="IBM Plex Sans"/>
          <w:b/>
          <w:bCs/>
          <w:color w:val="000000" w:themeColor="text1"/>
          <w:sz w:val="28"/>
          <w:szCs w:val="28"/>
        </w:rPr>
      </w:pPr>
      <w:r w:rsidRPr="55E02F95">
        <w:rPr>
          <w:rFonts w:ascii="IBM Plex Sans" w:eastAsia="IBM Plex Sans" w:hAnsi="IBM Plex Sans" w:cs="IBM Plex Sans"/>
          <w:b/>
          <w:bCs/>
          <w:color w:val="000000" w:themeColor="text1"/>
          <w:sz w:val="28"/>
          <w:szCs w:val="28"/>
        </w:rPr>
        <w:t>Pre-requisite: Before you start configuring Db2 Genius Hub</w:t>
      </w:r>
    </w:p>
    <w:p w14:paraId="327EBBE7" w14:textId="567B139D" w:rsidR="55E02F95" w:rsidRDefault="55E02F95" w:rsidP="55E02F95">
      <w:pPr>
        <w:pStyle w:val="ListParagraph"/>
        <w:numPr>
          <w:ilvl w:val="0"/>
          <w:numId w:val="7"/>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Kerberos configuration and setup up and running</w:t>
      </w:r>
    </w:p>
    <w:p w14:paraId="6C9522D3" w14:textId="449EE769" w:rsidR="55E02F95" w:rsidRDefault="55E02F95" w:rsidP="55E02F95">
      <w:pPr>
        <w:pStyle w:val="ListParagraph"/>
        <w:numPr>
          <w:ilvl w:val="0"/>
          <w:numId w:val="7"/>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LDAP Service</w:t>
      </w:r>
    </w:p>
    <w:p w14:paraId="6654B707" w14:textId="01C2DDCA" w:rsidR="55E02F95" w:rsidRDefault="55E02F95" w:rsidP="55E02F95">
      <w:pPr>
        <w:pStyle w:val="ListParagraph"/>
        <w:numPr>
          <w:ilvl w:val="0"/>
          <w:numId w:val="7"/>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All access and privileges in place</w:t>
      </w:r>
    </w:p>
    <w:p w14:paraId="09213317" w14:textId="15D8659E" w:rsidR="55E02F95" w:rsidRDefault="55E02F95" w:rsidP="55E02F95">
      <w:pPr>
        <w:shd w:val="clear" w:color="auto" w:fill="FFFFFF" w:themeFill="background1"/>
        <w:spacing w:after="150"/>
      </w:pPr>
    </w:p>
    <w:p w14:paraId="4CB6DB1A" w14:textId="4EEDB72A" w:rsidR="55E02F95" w:rsidRDefault="55E02F95" w:rsidP="55E02F95">
      <w:pPr>
        <w:shd w:val="clear" w:color="auto" w:fill="FFFFFF" w:themeFill="background1"/>
        <w:spacing w:after="150"/>
        <w:rPr>
          <w:rFonts w:ascii="IBM Plex Sans" w:eastAsia="IBM Plex Sans" w:hAnsi="IBM Plex Sans" w:cs="IBM Plex Sans"/>
          <w:b/>
          <w:bCs/>
          <w:color w:val="000000" w:themeColor="text1"/>
        </w:rPr>
      </w:pPr>
      <w:r w:rsidRPr="55E02F95">
        <w:rPr>
          <w:rFonts w:ascii="IBM Plex Sans" w:eastAsia="IBM Plex Sans" w:hAnsi="IBM Plex Sans" w:cs="IBM Plex Sans"/>
          <w:b/>
          <w:bCs/>
          <w:color w:val="000000" w:themeColor="text1"/>
        </w:rPr>
        <w:t>Step 1 – Configure Kerberos</w:t>
      </w:r>
    </w:p>
    <w:p w14:paraId="60FAB998" w14:textId="222010BB"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The first step captures the core Kerberos settings required for authentication.</w:t>
      </w:r>
    </w:p>
    <w:p w14:paraId="209E48C2" w14:textId="32EF93B1"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These include:</w:t>
      </w:r>
    </w:p>
    <w:p w14:paraId="2591D954" w14:textId="53B2734F" w:rsidR="55E02F95" w:rsidRDefault="55E02F95" w:rsidP="55E02F95">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Kerberos Realm</w:t>
      </w:r>
    </w:p>
    <w:p w14:paraId="7FFECC4C" w14:textId="24BB0A08" w:rsidR="55E02F95" w:rsidRDefault="55E02F95" w:rsidP="55E02F95">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Key Distribution Center (KDC)</w:t>
      </w:r>
    </w:p>
    <w:p w14:paraId="635497D7" w14:textId="2F4F004E" w:rsidR="55E02F95" w:rsidRDefault="55E02F95" w:rsidP="55E02F95">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Service Principal</w:t>
      </w:r>
    </w:p>
    <w:p w14:paraId="178F7C8F" w14:textId="2A890AC2" w:rsidR="55E02F95" w:rsidRDefault="55E02F95" w:rsidP="55E02F95">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Keytab file location</w:t>
      </w:r>
    </w:p>
    <w:p w14:paraId="23AF6A14" w14:textId="75D82792" w:rsidR="55E02F95" w:rsidRDefault="55E02F95" w:rsidP="55E02F95">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LDAP User Base DN (Domain Name)</w:t>
      </w:r>
    </w:p>
    <w:p w14:paraId="64D5B959" w14:textId="4F096494"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Optional settings such as login attributes and timeout values provide additional flexibility for different enterprise environments.</w:t>
      </w:r>
    </w:p>
    <w:p w14:paraId="55169BC5" w14:textId="1066E868"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One important requirement is that the configured Service Principal must match the principal stored inside the keytab file. Since Kerberos is case-sensitive, ensuring these values match exactly helps avoid authentication failures.</w:t>
      </w:r>
      <w:r>
        <w:br/>
      </w:r>
      <w:r w:rsidRPr="55E02F95">
        <w:rPr>
          <w:rFonts w:ascii="IBM Plex Sans" w:eastAsia="IBM Plex Sans" w:hAnsi="IBM Plex Sans" w:cs="IBM Plex Sans"/>
          <w:color w:val="000000" w:themeColor="text1"/>
          <w:sz w:val="27"/>
          <w:szCs w:val="27"/>
        </w:rPr>
        <w:t>Also, the Service principal name for IBM Db2 Genius Hub should be of below format.</w:t>
      </w:r>
      <w:r>
        <w:br/>
      </w:r>
      <w:r w:rsidRPr="55E02F95">
        <w:rPr>
          <w:rFonts w:ascii="IBM Plex Sans" w:eastAsia="IBM Plex Sans" w:hAnsi="IBM Plex Sans" w:cs="IBM Plex Sans"/>
          <w:color w:val="000000" w:themeColor="text1"/>
          <w:sz w:val="27"/>
          <w:szCs w:val="27"/>
        </w:rPr>
        <w:t>HTTP/&lt;Genius Hub Hostname&gt;@&lt;REALM&gt;</w:t>
      </w:r>
    </w:p>
    <w:p w14:paraId="1880D1C5" w14:textId="4FEB9393" w:rsidR="55E02F95" w:rsidRDefault="55E02F95" w:rsidP="55E02F95">
      <w:pPr>
        <w:shd w:val="clear" w:color="auto" w:fill="FFFFFF" w:themeFill="background1"/>
        <w:spacing w:after="150"/>
        <w:rPr>
          <w:rFonts w:ascii="IBM Plex Sans" w:eastAsia="IBM Plex Sans" w:hAnsi="IBM Plex Sans" w:cs="IBM Plex Sans"/>
          <w:b/>
          <w:bCs/>
          <w:color w:val="000000" w:themeColor="text1"/>
        </w:rPr>
      </w:pPr>
      <w:r>
        <w:rPr>
          <w:noProof/>
        </w:rPr>
        <w:lastRenderedPageBreak/>
        <w:drawing>
          <wp:inline distT="0" distB="0" distL="0" distR="0" wp14:anchorId="2FABBC01" wp14:editId="49F7C4D9">
            <wp:extent cx="5943600" cy="3314700"/>
            <wp:effectExtent l="0" t="0" r="0" b="0"/>
            <wp:docPr id="890946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46358" name="Picture 890946358"/>
                    <pic:cNvPicPr/>
                  </pic:nvPicPr>
                  <pic:blipFill>
                    <a:blip r:embed="rId9">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br/>
      </w:r>
      <w:r>
        <w:br/>
      </w:r>
      <w:r w:rsidRPr="55E02F95">
        <w:rPr>
          <w:rFonts w:ascii="IBM Plex Sans" w:eastAsia="IBM Plex Sans" w:hAnsi="IBM Plex Sans" w:cs="IBM Plex Sans"/>
          <w:b/>
          <w:bCs/>
          <w:color w:val="000000" w:themeColor="text1"/>
        </w:rPr>
        <w:t>Step 2 – Connect to LDAP</w:t>
      </w:r>
    </w:p>
    <w:p w14:paraId="0FED82FA" w14:textId="0E0F7CF0"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After configuring Kerberos, the next step establishes communication with the organisation's LDAP directory.</w:t>
      </w:r>
    </w:p>
    <w:p w14:paraId="057B5713" w14:textId="124D8891"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Administrators simply provide:</w:t>
      </w:r>
    </w:p>
    <w:p w14:paraId="3733A1FD" w14:textId="1A8AE0CD" w:rsidR="55E02F95" w:rsidRDefault="55E02F95" w:rsidP="55E02F95">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LDAP server</w:t>
      </w:r>
    </w:p>
    <w:p w14:paraId="621AD6BC" w14:textId="200D1CC3" w:rsidR="55E02F95" w:rsidRDefault="55E02F95" w:rsidP="55E02F95">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Port</w:t>
      </w:r>
    </w:p>
    <w:p w14:paraId="58A9AC9E" w14:textId="55B38E9E" w:rsidR="55E02F95" w:rsidRDefault="55E02F95" w:rsidP="55E02F95">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Bind DN</w:t>
      </w:r>
    </w:p>
    <w:p w14:paraId="4B0AD1F0" w14:textId="0076AF85" w:rsidR="55E02F95" w:rsidRDefault="55E02F95" w:rsidP="55E02F95">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Bind password</w:t>
      </w:r>
    </w:p>
    <w:p w14:paraId="09F9B18C" w14:textId="56D1EFF6"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Instead of waiting until the configuration is complete, Db2 Genius Hub immediately validates the LDAP connection before allowing the administrator to continue.</w:t>
      </w:r>
    </w:p>
    <w:p w14:paraId="019CCAE1" w14:textId="0D7CE3E5"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This helps identify common configuration issues such as incorrect server details, invalid credentials, or network connectivity problems early in the setup process.</w:t>
      </w:r>
    </w:p>
    <w:p w14:paraId="028106F7" w14:textId="6D80F2BB" w:rsidR="55E02F95" w:rsidRDefault="55E02F95" w:rsidP="55E02F95">
      <w:pPr>
        <w:shd w:val="clear" w:color="auto" w:fill="FFFFFF" w:themeFill="background1"/>
        <w:spacing w:after="150"/>
        <w:rPr>
          <w:rFonts w:ascii="IBM Plex Sans" w:eastAsia="IBM Plex Sans" w:hAnsi="IBM Plex Sans" w:cs="IBM Plex Sans"/>
          <w:b/>
          <w:bCs/>
          <w:color w:val="000000" w:themeColor="text1"/>
        </w:rPr>
      </w:pPr>
      <w:r>
        <w:rPr>
          <w:noProof/>
        </w:rPr>
        <w:lastRenderedPageBreak/>
        <w:drawing>
          <wp:inline distT="0" distB="0" distL="0" distR="0" wp14:anchorId="60629417" wp14:editId="3CD38D39">
            <wp:extent cx="5943600" cy="3314700"/>
            <wp:effectExtent l="0" t="0" r="0" b="0"/>
            <wp:docPr id="1556421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21688" name="Picture 1556421688"/>
                    <pic:cNvPicPr/>
                  </pic:nvPicPr>
                  <pic:blipFill>
                    <a:blip r:embed="rId10">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br/>
      </w:r>
      <w:r>
        <w:br/>
      </w:r>
      <w:r w:rsidRPr="55E02F95">
        <w:rPr>
          <w:rFonts w:ascii="IBM Plex Sans" w:eastAsia="IBM Plex Sans" w:hAnsi="IBM Plex Sans" w:cs="IBM Plex Sans"/>
          <w:b/>
          <w:bCs/>
          <w:color w:val="000000" w:themeColor="text1"/>
        </w:rPr>
        <w:t>Step 3 – Configure Group Mapping</w:t>
      </w:r>
    </w:p>
    <w:p w14:paraId="7CF3054E" w14:textId="0EF68BCA"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Authentication alone is only part of the process. Users also need the appropriate permissions inside Db2 Genius Hub.</w:t>
      </w:r>
    </w:p>
    <w:p w14:paraId="150C0343" w14:textId="182428A8"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The final step maps LDAP groups to application roles.</w:t>
      </w:r>
    </w:p>
    <w:p w14:paraId="50B203CD" w14:textId="478D9E62"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Organisations can associate one or multiple LDAP groups with each role:</w:t>
      </w:r>
    </w:p>
    <w:p w14:paraId="4976178B" w14:textId="68308B76" w:rsidR="55E02F95" w:rsidRDefault="55E02F95" w:rsidP="55E02F95">
      <w:pPr>
        <w:shd w:val="clear" w:color="auto" w:fill="FFFFFF" w:themeFill="background1"/>
        <w:spacing w:after="150"/>
      </w:pPr>
      <w:r w:rsidRPr="55E02F95">
        <w:rPr>
          <w:rFonts w:ascii="IBM Plex Sans" w:eastAsia="IBM Plex Sans" w:hAnsi="IBM Plex Sans" w:cs="IBM Plex Sans"/>
          <w:b/>
          <w:bCs/>
          <w:color w:val="000000" w:themeColor="text1"/>
          <w:sz w:val="27"/>
          <w:szCs w:val="27"/>
        </w:rPr>
        <w:t>Console Administrator</w:t>
      </w:r>
      <w:r>
        <w:br/>
      </w:r>
      <w:r w:rsidRPr="55E02F95">
        <w:rPr>
          <w:rFonts w:ascii="IBM Plex Sans" w:eastAsia="IBM Plex Sans" w:hAnsi="IBM Plex Sans" w:cs="IBM Plex Sans"/>
          <w:b/>
          <w:bCs/>
          <w:color w:val="000000" w:themeColor="text1"/>
          <w:sz w:val="27"/>
          <w:szCs w:val="27"/>
        </w:rPr>
        <w:t>Database Administrator</w:t>
      </w:r>
      <w:r>
        <w:br/>
      </w:r>
      <w:r w:rsidRPr="55E02F95">
        <w:rPr>
          <w:rFonts w:ascii="IBM Plex Sans" w:eastAsia="IBM Plex Sans" w:hAnsi="IBM Plex Sans" w:cs="IBM Plex Sans"/>
          <w:b/>
          <w:bCs/>
          <w:color w:val="000000" w:themeColor="text1"/>
          <w:sz w:val="27"/>
          <w:szCs w:val="27"/>
        </w:rPr>
        <w:t>Database User</w:t>
      </w:r>
    </w:p>
    <w:p w14:paraId="5FBC35A4" w14:textId="2C4590A3"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Because different directory services represent group membership differently, the configuration also allows administrators to specify the appropriate Member Attribute and User ID Attribute for their LDAP implementation.</w:t>
      </w:r>
    </w:p>
    <w:p w14:paraId="4DD15414" w14:textId="38E2F1E2"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Whether you're using Active Directory or OpenLDAP, Db2 Genius Hub provides the flexibility to adapt to your existing directory schema.</w:t>
      </w:r>
    </w:p>
    <w:p w14:paraId="247A21CA" w14:textId="38D2DAD8" w:rsidR="55E02F95" w:rsidRDefault="55E02F95" w:rsidP="55E02F95">
      <w:pPr>
        <w:shd w:val="clear" w:color="auto" w:fill="FFFFFF" w:themeFill="background1"/>
        <w:spacing w:after="150"/>
      </w:pPr>
      <w:r>
        <w:rPr>
          <w:noProof/>
        </w:rPr>
        <w:lastRenderedPageBreak/>
        <w:drawing>
          <wp:inline distT="0" distB="0" distL="0" distR="0" wp14:anchorId="5F20A4B7" wp14:editId="709EA393">
            <wp:extent cx="5943600" cy="3314700"/>
            <wp:effectExtent l="0" t="0" r="0" b="0"/>
            <wp:docPr id="564699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99475" name="Picture 564699475"/>
                    <pic:cNvPicPr/>
                  </pic:nvPicPr>
                  <pic:blipFill>
                    <a:blip r:embed="rId11">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br/>
      </w:r>
      <w:r>
        <w:br/>
      </w:r>
      <w:r w:rsidRPr="55E02F95">
        <w:rPr>
          <w:rFonts w:ascii="IBM Plex Sans" w:eastAsia="IBM Plex Sans" w:hAnsi="IBM Plex Sans" w:cs="IBM Plex Sans"/>
          <w:b/>
          <w:bCs/>
          <w:color w:val="000000" w:themeColor="text1"/>
          <w:sz w:val="27"/>
          <w:szCs w:val="27"/>
        </w:rPr>
        <w:t>Built-In Validation Before You Save</w:t>
      </w:r>
    </w:p>
    <w:p w14:paraId="35961BC0" w14:textId="6C09FF89"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One of the goals while designing this feature was to minimise configuration errors before Kerberos authentication is enabled.</w:t>
      </w:r>
    </w:p>
    <w:p w14:paraId="15FF41C2" w14:textId="3DE64EF0"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Db2 Genius Hub performs validation throughout the setup process.</w:t>
      </w:r>
    </w:p>
    <w:p w14:paraId="4F4F60CF" w14:textId="3634A5BA" w:rsidR="55E02F95" w:rsidRDefault="55E02F95" w:rsidP="55E02F95">
      <w:pPr>
        <w:shd w:val="clear" w:color="auto" w:fill="FFFFFF" w:themeFill="background1"/>
        <w:spacing w:after="150"/>
      </w:pPr>
    </w:p>
    <w:p w14:paraId="79E41430" w14:textId="428987E7" w:rsidR="55E02F95" w:rsidRDefault="55E02F95" w:rsidP="55E02F95">
      <w:pPr>
        <w:shd w:val="clear" w:color="auto" w:fill="FFFFFF" w:themeFill="background1"/>
        <w:spacing w:after="150"/>
        <w:rPr>
          <w:rFonts w:ascii="IBM Plex Sans" w:eastAsia="IBM Plex Sans" w:hAnsi="IBM Plex Sans" w:cs="IBM Plex Sans"/>
          <w:b/>
          <w:bCs/>
          <w:color w:val="000000" w:themeColor="text1"/>
          <w:sz w:val="27"/>
          <w:szCs w:val="27"/>
        </w:rPr>
      </w:pPr>
      <w:r w:rsidRPr="55E02F95">
        <w:rPr>
          <w:rFonts w:ascii="IBM Plex Sans" w:eastAsia="IBM Plex Sans" w:hAnsi="IBM Plex Sans" w:cs="IBM Plex Sans"/>
          <w:b/>
          <w:bCs/>
          <w:color w:val="000000" w:themeColor="text1"/>
          <w:sz w:val="27"/>
          <w:szCs w:val="27"/>
        </w:rPr>
        <w:t>LDAP Connection Validation</w:t>
      </w:r>
    </w:p>
    <w:p w14:paraId="35F19D17" w14:textId="4ACA5CB3"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When the LDAP configuration is completed, the application automatically verifies:</w:t>
      </w:r>
    </w:p>
    <w:p w14:paraId="4E8D6AFD" w14:textId="1DC759EA" w:rsidR="55E02F95" w:rsidRDefault="55E02F95" w:rsidP="55E02F95">
      <w:pPr>
        <w:pStyle w:val="ListParagraph"/>
        <w:numPr>
          <w:ilvl w:val="0"/>
          <w:numId w:val="4"/>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LDAP server connectivity</w:t>
      </w:r>
    </w:p>
    <w:p w14:paraId="3918F393" w14:textId="464265E4" w:rsidR="55E02F95" w:rsidRDefault="55E02F95" w:rsidP="55E02F95">
      <w:pPr>
        <w:pStyle w:val="ListParagraph"/>
        <w:numPr>
          <w:ilvl w:val="0"/>
          <w:numId w:val="4"/>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Bind credentials</w:t>
      </w:r>
    </w:p>
    <w:p w14:paraId="21E9405A" w14:textId="700CA272" w:rsidR="55E02F95" w:rsidRDefault="55E02F95" w:rsidP="55E02F95">
      <w:pPr>
        <w:pStyle w:val="ListParagraph"/>
        <w:numPr>
          <w:ilvl w:val="0"/>
          <w:numId w:val="4"/>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Directory accessibility</w:t>
      </w:r>
    </w:p>
    <w:p w14:paraId="5D27BC7B" w14:textId="48D503F7"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Only after a successful validation can administrators proceed to the next step.</w:t>
      </w:r>
    </w:p>
    <w:p w14:paraId="75D7CFB2" w14:textId="0CDDACC0" w:rsidR="55E02F95" w:rsidRDefault="55E02F95" w:rsidP="55E02F95">
      <w:pPr>
        <w:shd w:val="clear" w:color="auto" w:fill="FFFFFF" w:themeFill="background1"/>
        <w:spacing w:after="150"/>
      </w:pPr>
    </w:p>
    <w:p w14:paraId="253D98A4" w14:textId="0EDA4112" w:rsidR="55E02F95" w:rsidRDefault="55E02F95" w:rsidP="55E02F95">
      <w:pPr>
        <w:shd w:val="clear" w:color="auto" w:fill="FFFFFF" w:themeFill="background1"/>
        <w:spacing w:after="150"/>
        <w:rPr>
          <w:rFonts w:ascii="IBM Plex Sans" w:eastAsia="IBM Plex Sans" w:hAnsi="IBM Plex Sans" w:cs="IBM Plex Sans"/>
          <w:b/>
          <w:bCs/>
          <w:color w:val="000000" w:themeColor="text1"/>
          <w:sz w:val="27"/>
          <w:szCs w:val="27"/>
        </w:rPr>
      </w:pPr>
      <w:r w:rsidRPr="55E02F95">
        <w:rPr>
          <w:rFonts w:ascii="IBM Plex Sans" w:eastAsia="IBM Plex Sans" w:hAnsi="IBM Plex Sans" w:cs="IBM Plex Sans"/>
          <w:b/>
          <w:bCs/>
          <w:color w:val="000000" w:themeColor="text1"/>
          <w:sz w:val="27"/>
          <w:szCs w:val="27"/>
        </w:rPr>
        <w:t>User Authentication Validation</w:t>
      </w:r>
    </w:p>
    <w:p w14:paraId="478D0000" w14:textId="7AF58449"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lastRenderedPageBreak/>
        <w:t>Before the configuration can be saved, administrators perform a test using a real Kerberos user principal.</w:t>
      </w:r>
    </w:p>
    <w:p w14:paraId="07633A1A" w14:textId="4BF35BCF"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This verifies that:</w:t>
      </w:r>
    </w:p>
    <w:p w14:paraId="4346E446" w14:textId="57B6A295" w:rsidR="55E02F95" w:rsidRDefault="55E02F95" w:rsidP="55E02F95">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Kerberos authentication succeeds</w:t>
      </w:r>
    </w:p>
    <w:p w14:paraId="243A9928" w14:textId="2905C39D" w:rsidR="55E02F95" w:rsidRDefault="55E02F95" w:rsidP="55E02F95">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the user exists in LDAP</w:t>
      </w:r>
    </w:p>
    <w:p w14:paraId="1847B297" w14:textId="23502FDA" w:rsidR="55E02F95" w:rsidRDefault="55E02F95" w:rsidP="55E02F95">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group membership is resolved correctly</w:t>
      </w:r>
    </w:p>
    <w:p w14:paraId="3E4ADE51" w14:textId="7878A63E" w:rsidR="55E02F95" w:rsidRDefault="55E02F95" w:rsidP="55E02F95">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the appropriate application role can be assigned</w:t>
      </w:r>
    </w:p>
    <w:p w14:paraId="3BDCC6DB" w14:textId="54E5E2FD"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The Save button becomes available only after a successful authentication test, reducing the risk of deploying an invalid configuration.</w:t>
      </w:r>
    </w:p>
    <w:p w14:paraId="3886EB99" w14:textId="6E74D81A" w:rsidR="55E02F95" w:rsidRDefault="55E02F95" w:rsidP="55E02F95">
      <w:pPr>
        <w:shd w:val="clear" w:color="auto" w:fill="FFFFFF" w:themeFill="background1"/>
        <w:spacing w:after="150"/>
      </w:pPr>
      <w:r>
        <w:rPr>
          <w:noProof/>
        </w:rPr>
        <w:drawing>
          <wp:inline distT="0" distB="0" distL="0" distR="0" wp14:anchorId="377535E5" wp14:editId="699C3130">
            <wp:extent cx="5943600" cy="3314700"/>
            <wp:effectExtent l="0" t="0" r="0" b="0"/>
            <wp:docPr id="1279007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07466" name="Picture 1279007466"/>
                    <pic:cNvPicPr/>
                  </pic:nvPicPr>
                  <pic:blipFill>
                    <a:blip r:embed="rId12">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br/>
      </w:r>
      <w:r>
        <w:br/>
      </w:r>
      <w:r w:rsidRPr="55E02F95">
        <w:rPr>
          <w:rFonts w:ascii="IBM Plex Sans" w:eastAsia="IBM Plex Sans" w:hAnsi="IBM Plex Sans" w:cs="IBM Plex Sans"/>
          <w:b/>
          <w:bCs/>
          <w:color w:val="000000" w:themeColor="text1"/>
        </w:rPr>
        <w:t>Important Things to Know</w:t>
      </w:r>
    </w:p>
    <w:p w14:paraId="777A3257" w14:textId="5B915D2A"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Enabling Kerberos changes how users authenticate to Db2 Genius Hub.</w:t>
      </w:r>
    </w:p>
    <w:p w14:paraId="09001564" w14:textId="2EC37B13"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Before saving the configuration, administrators should be aware of a few important behaviours:</w:t>
      </w:r>
    </w:p>
    <w:p w14:paraId="411AAA87" w14:textId="6483D59B"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The initial setup administrator account will no longer be available for console login.</w:t>
      </w:r>
      <w:r>
        <w:br/>
      </w:r>
      <w:r w:rsidRPr="55E02F95">
        <w:rPr>
          <w:rFonts w:ascii="IBM Plex Sans" w:eastAsia="IBM Plex Sans" w:hAnsi="IBM Plex Sans" w:cs="IBM Plex Sans"/>
          <w:color w:val="000000" w:themeColor="text1"/>
          <w:sz w:val="27"/>
          <w:szCs w:val="27"/>
        </w:rPr>
        <w:t>Existing users must sign in again using their Kerberos credentials.</w:t>
      </w:r>
      <w:r>
        <w:br/>
      </w:r>
      <w:r w:rsidRPr="55E02F95">
        <w:rPr>
          <w:rFonts w:ascii="IBM Plex Sans" w:eastAsia="IBM Plex Sans" w:hAnsi="IBM Plex Sans" w:cs="IBM Plex Sans"/>
          <w:color w:val="000000" w:themeColor="text1"/>
          <w:sz w:val="27"/>
          <w:szCs w:val="27"/>
        </w:rPr>
        <w:lastRenderedPageBreak/>
        <w:t>At least one Console Admin LDAP group must be configured before Kerberos can be enabled.</w:t>
      </w:r>
    </w:p>
    <w:p w14:paraId="753CDF8A" w14:textId="5C2DC014"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These safeguards help ensure that administrative access is preserved after the authentication provider is switched.</w:t>
      </w:r>
    </w:p>
    <w:p w14:paraId="2A767A17" w14:textId="49E6E6F1" w:rsidR="55E02F95" w:rsidRDefault="55E02F95" w:rsidP="55E02F95">
      <w:pPr>
        <w:shd w:val="clear" w:color="auto" w:fill="FFFFFF" w:themeFill="background1"/>
        <w:spacing w:after="150"/>
        <w:rPr>
          <w:rFonts w:ascii="IBM Plex Sans" w:eastAsia="IBM Plex Sans" w:hAnsi="IBM Plex Sans" w:cs="IBM Plex Sans"/>
          <w:b/>
          <w:bCs/>
          <w:color w:val="000000" w:themeColor="text1"/>
        </w:rPr>
      </w:pPr>
      <w:r>
        <w:rPr>
          <w:noProof/>
        </w:rPr>
        <w:drawing>
          <wp:inline distT="0" distB="0" distL="0" distR="0" wp14:anchorId="64C0B8A4" wp14:editId="419CDE13">
            <wp:extent cx="5943600" cy="3314700"/>
            <wp:effectExtent l="0" t="0" r="0" b="0"/>
            <wp:docPr id="200478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322" name="Picture 200478322"/>
                    <pic:cNvPicPr/>
                  </pic:nvPicPr>
                  <pic:blipFill>
                    <a:blip r:embed="rId13">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br/>
      </w:r>
      <w:r>
        <w:br/>
      </w:r>
      <w:r w:rsidRPr="55E02F95">
        <w:rPr>
          <w:rFonts w:ascii="IBM Plex Sans" w:eastAsia="IBM Plex Sans" w:hAnsi="IBM Plex Sans" w:cs="IBM Plex Sans"/>
          <w:b/>
          <w:bCs/>
          <w:color w:val="000000" w:themeColor="text1"/>
        </w:rPr>
        <w:t>Enterprise Flexibility</w:t>
      </w:r>
    </w:p>
    <w:p w14:paraId="2697A1D7" w14:textId="11EE4EAD"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The implementation has been designed to support common enterprise identity environments, including:</w:t>
      </w:r>
    </w:p>
    <w:p w14:paraId="5DDBD024" w14:textId="65723200" w:rsidR="55E02F95" w:rsidRDefault="55E02F95" w:rsidP="55E02F95">
      <w:pPr>
        <w:pStyle w:val="ListParagraph"/>
        <w:numPr>
          <w:ilvl w:val="0"/>
          <w:numId w:val="2"/>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Active Directory</w:t>
      </w:r>
    </w:p>
    <w:p w14:paraId="136581DD" w14:textId="6D815191" w:rsidR="55E02F95" w:rsidRDefault="55E02F95" w:rsidP="55E02F95">
      <w:pPr>
        <w:pStyle w:val="ListParagraph"/>
        <w:numPr>
          <w:ilvl w:val="0"/>
          <w:numId w:val="2"/>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OpenLDAP</w:t>
      </w:r>
    </w:p>
    <w:p w14:paraId="7A601339" w14:textId="34E100A4" w:rsidR="55E02F95" w:rsidRDefault="55E02F95" w:rsidP="55E02F95">
      <w:pPr>
        <w:pStyle w:val="ListParagraph"/>
        <w:numPr>
          <w:ilvl w:val="0"/>
          <w:numId w:val="2"/>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MIT Kerberos</w:t>
      </w:r>
    </w:p>
    <w:p w14:paraId="1CCF3FDC" w14:textId="4E9B0276" w:rsidR="55E02F95" w:rsidRDefault="55E02F95" w:rsidP="55E02F95">
      <w:pPr>
        <w:pStyle w:val="ListParagraph"/>
        <w:numPr>
          <w:ilvl w:val="0"/>
          <w:numId w:val="2"/>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Other LDAP-compliant directory services</w:t>
      </w:r>
    </w:p>
    <w:p w14:paraId="30193C44" w14:textId="1FEC4396"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Because attribute mappings are configurable, organisations can integrate Db2 Genius Hub without restructuring their existing LDAP hierarchy.</w:t>
      </w:r>
    </w:p>
    <w:p w14:paraId="761C3363" w14:textId="0CD929D2" w:rsidR="55E02F95" w:rsidRDefault="55E02F95" w:rsidP="55E02F95">
      <w:pPr>
        <w:shd w:val="clear" w:color="auto" w:fill="FFFFFF" w:themeFill="background1"/>
        <w:spacing w:after="150"/>
      </w:pPr>
    </w:p>
    <w:p w14:paraId="2C6E87E1" w14:textId="0CF4FE09" w:rsidR="55E02F95" w:rsidRDefault="55E02F95" w:rsidP="55E02F95">
      <w:pPr>
        <w:shd w:val="clear" w:color="auto" w:fill="FFFFFF" w:themeFill="background1"/>
        <w:spacing w:after="150"/>
        <w:rPr>
          <w:rFonts w:ascii="IBM Plex Sans" w:eastAsia="IBM Plex Sans" w:hAnsi="IBM Plex Sans" w:cs="IBM Plex Sans"/>
          <w:b/>
          <w:bCs/>
          <w:color w:val="000000" w:themeColor="text1"/>
        </w:rPr>
      </w:pPr>
      <w:r w:rsidRPr="55E02F95">
        <w:rPr>
          <w:rFonts w:ascii="IBM Plex Sans" w:eastAsia="IBM Plex Sans" w:hAnsi="IBM Plex Sans" w:cs="IBM Plex Sans"/>
          <w:b/>
          <w:bCs/>
          <w:color w:val="000000" w:themeColor="text1"/>
        </w:rPr>
        <w:t>Benefits</w:t>
      </w:r>
    </w:p>
    <w:p w14:paraId="36802A46" w14:textId="4847B91C"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lastRenderedPageBreak/>
        <w:t>By introducing Kerberos Authentication, IBM Db2 Genius Hub enables organisations to:</w:t>
      </w:r>
    </w:p>
    <w:p w14:paraId="254A0AEB" w14:textId="4AC3600E" w:rsidR="55E02F95" w:rsidRDefault="55E02F95" w:rsidP="55E02F95">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Integrate seamlessly with enterprise Single Sign-On (SSO)</w:t>
      </w:r>
    </w:p>
    <w:p w14:paraId="53840FCB" w14:textId="1CDC9266" w:rsidR="55E02F95" w:rsidRDefault="55E02F95" w:rsidP="55E02F95">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Eliminate local application credential management</w:t>
      </w:r>
    </w:p>
    <w:p w14:paraId="5D5D5A5F" w14:textId="2CF7F0FF" w:rsidR="55E02F95" w:rsidRDefault="55E02F95" w:rsidP="55E02F95">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Leverage existing LDAP groups for authorisation</w:t>
      </w:r>
    </w:p>
    <w:p w14:paraId="569B6C42" w14:textId="71D512C9" w:rsidR="55E02F95" w:rsidRDefault="55E02F95" w:rsidP="55E02F95">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Support flexible directory schemas through configurable attribute mapping</w:t>
      </w:r>
    </w:p>
    <w:p w14:paraId="54983627" w14:textId="1706ABCA" w:rsidR="55E02F95" w:rsidRDefault="55E02F95" w:rsidP="55E02F95">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Detect configuration issues early with built-in validation</w:t>
      </w:r>
    </w:p>
    <w:p w14:paraId="44A94235" w14:textId="3D2D071C" w:rsidR="55E02F95" w:rsidRDefault="55E02F95" w:rsidP="55E02F95">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55E02F95">
        <w:rPr>
          <w:rFonts w:ascii="IBM Plex Sans" w:eastAsia="IBM Plex Sans" w:hAnsi="IBM Plex Sans" w:cs="IBM Plex Sans"/>
          <w:color w:val="000000" w:themeColor="text1"/>
          <w:sz w:val="27"/>
          <w:szCs w:val="27"/>
        </w:rPr>
        <w:t>Improve security while simplifying user administration</w:t>
      </w:r>
    </w:p>
    <w:p w14:paraId="26B3022F" w14:textId="1D3FA179" w:rsidR="55E02F95" w:rsidRDefault="55E02F95" w:rsidP="55E02F95">
      <w:pPr>
        <w:shd w:val="clear" w:color="auto" w:fill="FFFFFF" w:themeFill="background1"/>
        <w:spacing w:after="150"/>
      </w:pPr>
    </w:p>
    <w:p w14:paraId="74EC4058" w14:textId="39ADA029" w:rsidR="55E02F95" w:rsidRDefault="55E02F95" w:rsidP="55E02F95">
      <w:pPr>
        <w:shd w:val="clear" w:color="auto" w:fill="FFFFFF" w:themeFill="background1"/>
        <w:spacing w:after="150"/>
      </w:pPr>
    </w:p>
    <w:p w14:paraId="275969B4" w14:textId="42D1CE18" w:rsidR="55E02F95" w:rsidRDefault="55E02F95" w:rsidP="55E02F95">
      <w:pPr>
        <w:shd w:val="clear" w:color="auto" w:fill="FFFFFF" w:themeFill="background1"/>
        <w:spacing w:after="150"/>
        <w:rPr>
          <w:rFonts w:ascii="IBM Plex Sans" w:eastAsia="IBM Plex Sans" w:hAnsi="IBM Plex Sans" w:cs="IBM Plex Sans"/>
          <w:b/>
          <w:bCs/>
          <w:color w:val="000000" w:themeColor="text1"/>
          <w:sz w:val="28"/>
          <w:szCs w:val="28"/>
        </w:rPr>
      </w:pPr>
      <w:r w:rsidRPr="55E02F95">
        <w:rPr>
          <w:rFonts w:ascii="IBM Plex Sans" w:eastAsia="IBM Plex Sans" w:hAnsi="IBM Plex Sans" w:cs="IBM Plex Sans"/>
          <w:b/>
          <w:bCs/>
          <w:color w:val="000000" w:themeColor="text1"/>
          <w:sz w:val="28"/>
          <w:szCs w:val="28"/>
        </w:rPr>
        <w:t>Summary</w:t>
      </w:r>
    </w:p>
    <w:p w14:paraId="101B54A7" w14:textId="5E078E58" w:rsidR="55E02F95" w:rsidRDefault="55E02F95" w:rsidP="55E02F95">
      <w:pPr>
        <w:shd w:val="clear" w:color="auto" w:fill="FFFFFF" w:themeFill="background1"/>
        <w:spacing w:after="150"/>
      </w:pPr>
      <w:r w:rsidRPr="55E02F95">
        <w:rPr>
          <w:rFonts w:ascii="IBM Plex Sans" w:eastAsia="IBM Plex Sans" w:hAnsi="IBM Plex Sans" w:cs="IBM Plex Sans"/>
          <w:color w:val="000000" w:themeColor="text1"/>
          <w:sz w:val="27"/>
          <w:szCs w:val="27"/>
        </w:rPr>
        <w:t>Enterprise authentication should integrate naturally with an organisation's existing identity ecosystem rather than requiring a separate user management process.</w:t>
      </w:r>
    </w:p>
    <w:p w14:paraId="12EAC376" w14:textId="65AB2F85" w:rsidR="55E02F95" w:rsidRDefault="55E02F95" w:rsidP="55E02F95">
      <w:pPr>
        <w:shd w:val="clear" w:color="auto" w:fill="FFFFFF" w:themeFill="background1"/>
        <w:spacing w:after="0"/>
      </w:pPr>
      <w:r w:rsidRPr="55E02F95">
        <w:rPr>
          <w:rFonts w:ascii="IBM Plex Sans" w:eastAsia="IBM Plex Sans" w:hAnsi="IBM Plex Sans" w:cs="IBM Plex Sans"/>
          <w:color w:val="000000" w:themeColor="text1"/>
          <w:sz w:val="27"/>
          <w:szCs w:val="27"/>
        </w:rPr>
        <w:t xml:space="preserve">With Kerberos Authentication, IBM Db2 Genius Hub makes that integration straightforward through a guided configuration experience, built-in validation, and flexible LDAP group mapping. Organisations can adopt centralised authentication while continuing to manage authorisation using the directory structures they already trust. For more information refer Db2 GH Kerberos documentation page </w:t>
      </w:r>
      <w:hyperlink r:id="rId14">
        <w:r w:rsidRPr="55E02F95">
          <w:rPr>
            <w:rStyle w:val="Hyperlink"/>
            <w:color w:val="0F62FE"/>
          </w:rPr>
          <w:t>https://www.ibm.com/docs/en/db2-genius-hub/1.1.x?topic=configuration-configuring-kerberos-authentication-db2-genius-hub</w:t>
        </w:r>
      </w:hyperlink>
    </w:p>
    <w:p w14:paraId="2D937CFC" w14:textId="6F5173AC" w:rsidR="55E02F95" w:rsidRDefault="55E02F95" w:rsidP="55E02F95">
      <w:pPr>
        <w:shd w:val="clear" w:color="auto" w:fill="FFFFFF" w:themeFill="background1"/>
        <w:spacing w:after="150"/>
        <w:rPr>
          <w:rFonts w:ascii="IBM Plex Sans" w:eastAsia="IBM Plex Sans" w:hAnsi="IBM Plex Sans" w:cs="IBM Plex Sans"/>
          <w:sz w:val="28"/>
          <w:szCs w:val="28"/>
        </w:rPr>
      </w:pPr>
      <w:r>
        <w:br/>
      </w:r>
      <w:r>
        <w:br/>
      </w:r>
      <w:r>
        <w:br/>
      </w:r>
      <w:r w:rsidRPr="55E02F95">
        <w:rPr>
          <w:rFonts w:ascii="IBM Plex Sans" w:eastAsia="IBM Plex Sans" w:hAnsi="IBM Plex Sans" w:cs="IBM Plex Sans"/>
          <w:b/>
          <w:bCs/>
          <w:color w:val="000000" w:themeColor="text1"/>
          <w:sz w:val="28"/>
          <w:szCs w:val="28"/>
        </w:rPr>
        <w:t>About the Authors</w:t>
      </w:r>
      <w:r>
        <w:br/>
      </w:r>
      <w:r>
        <w:br/>
      </w:r>
      <w:r w:rsidRPr="55E02F95">
        <w:rPr>
          <w:rFonts w:ascii="IBM Plex Sans" w:eastAsia="IBM Plex Sans" w:hAnsi="IBM Plex Sans" w:cs="IBM Plex Sans"/>
          <w:b/>
          <w:bCs/>
          <w:sz w:val="28"/>
          <w:szCs w:val="28"/>
        </w:rPr>
        <w:t>Thomas James</w:t>
      </w:r>
      <w:r w:rsidRPr="55E02F95">
        <w:rPr>
          <w:rFonts w:ascii="IBM Plex Sans" w:eastAsia="IBM Plex Sans" w:hAnsi="IBM Plex Sans" w:cs="IBM Plex Sans"/>
          <w:sz w:val="28"/>
          <w:szCs w:val="28"/>
        </w:rPr>
        <w:t xml:space="preserve"> is a Lead Software Engineer with 15+ years of experience in the IBM Db2 ecosystem, specializing in enterprise database solutions, database administration tools, and secure authentication frameworks. Currently architecting and developing features for Db2 Genius Hub using </w:t>
      </w:r>
      <w:r w:rsidRPr="55E02F95">
        <w:rPr>
          <w:rFonts w:ascii="IBM Plex Sans" w:eastAsia="IBM Plex Sans" w:hAnsi="IBM Plex Sans" w:cs="IBM Plex Sans"/>
          <w:sz w:val="28"/>
          <w:szCs w:val="28"/>
        </w:rPr>
        <w:lastRenderedPageBreak/>
        <w:t>Java, Spring, RESTful APIs, and microservices, with a focus on building scalable, enterprise-grade solutions that enhance database performance, operational efficiency, and developer productivity.</w:t>
      </w:r>
      <w:r>
        <w:br/>
      </w:r>
      <w:r>
        <w:br/>
      </w:r>
      <w:r w:rsidRPr="55E02F95">
        <w:rPr>
          <w:rFonts w:ascii="IBM Plex Sans" w:eastAsia="IBM Plex Sans" w:hAnsi="IBM Plex Sans" w:cs="IBM Plex Sans"/>
          <w:b/>
          <w:bCs/>
          <w:sz w:val="28"/>
          <w:szCs w:val="28"/>
        </w:rPr>
        <w:t>Sheshnarayan (Shesh) Agrawal</w:t>
      </w:r>
      <w:r w:rsidRPr="55E02F95">
        <w:rPr>
          <w:rFonts w:ascii="IBM Plex Sans" w:eastAsia="IBM Plex Sans" w:hAnsi="IBM Plex Sans" w:cs="IBM Plex Sans"/>
          <w:sz w:val="28"/>
          <w:szCs w:val="28"/>
        </w:rPr>
        <w:t xml:space="preserve"> is a Senior Technical Staff Member (STSM) at IBM and serves as the Chief Architect for Db2 Genius Hub and Db2 AI tools. With more than two decades of experience in database tools and APIs, he has played a key role in designing innovative enterprise database solutions. Shesh is also an inventor with seven patents, primarily in the areas of database technologies and developer tools.</w:t>
      </w:r>
    </w:p>
    <w:p w14:paraId="3F71C188" w14:textId="16744A2A" w:rsidR="55E02F95" w:rsidRDefault="55E02F95"/>
    <w:sectPr w:rsidR="55E02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50E50"/>
    <w:multiLevelType w:val="hybridMultilevel"/>
    <w:tmpl w:val="5E6CDB24"/>
    <w:lvl w:ilvl="0" w:tplc="7E0E4010">
      <w:start w:val="1"/>
      <w:numFmt w:val="decimal"/>
      <w:lvlText w:val="%1."/>
      <w:lvlJc w:val="left"/>
      <w:pPr>
        <w:ind w:left="720" w:hanging="360"/>
      </w:pPr>
    </w:lvl>
    <w:lvl w:ilvl="1" w:tplc="F7C014C6">
      <w:start w:val="1"/>
      <w:numFmt w:val="lowerLetter"/>
      <w:lvlText w:val="%2."/>
      <w:lvlJc w:val="left"/>
      <w:pPr>
        <w:ind w:left="1440" w:hanging="360"/>
      </w:pPr>
    </w:lvl>
    <w:lvl w:ilvl="2" w:tplc="6B5AFC46">
      <w:start w:val="1"/>
      <w:numFmt w:val="lowerRoman"/>
      <w:lvlText w:val="%3."/>
      <w:lvlJc w:val="right"/>
      <w:pPr>
        <w:ind w:left="2160" w:hanging="180"/>
      </w:pPr>
    </w:lvl>
    <w:lvl w:ilvl="3" w:tplc="9C700F1C">
      <w:start w:val="1"/>
      <w:numFmt w:val="decimal"/>
      <w:lvlText w:val="%4."/>
      <w:lvlJc w:val="left"/>
      <w:pPr>
        <w:ind w:left="2880" w:hanging="360"/>
      </w:pPr>
    </w:lvl>
    <w:lvl w:ilvl="4" w:tplc="F3D26CAA">
      <w:start w:val="1"/>
      <w:numFmt w:val="lowerLetter"/>
      <w:lvlText w:val="%5."/>
      <w:lvlJc w:val="left"/>
      <w:pPr>
        <w:ind w:left="3600" w:hanging="360"/>
      </w:pPr>
    </w:lvl>
    <w:lvl w:ilvl="5" w:tplc="107CD61E">
      <w:start w:val="1"/>
      <w:numFmt w:val="lowerRoman"/>
      <w:lvlText w:val="%6."/>
      <w:lvlJc w:val="right"/>
      <w:pPr>
        <w:ind w:left="4320" w:hanging="180"/>
      </w:pPr>
    </w:lvl>
    <w:lvl w:ilvl="6" w:tplc="C51AEC14">
      <w:start w:val="1"/>
      <w:numFmt w:val="decimal"/>
      <w:lvlText w:val="%7."/>
      <w:lvlJc w:val="left"/>
      <w:pPr>
        <w:ind w:left="5040" w:hanging="360"/>
      </w:pPr>
    </w:lvl>
    <w:lvl w:ilvl="7" w:tplc="73B6AD9A">
      <w:start w:val="1"/>
      <w:numFmt w:val="lowerLetter"/>
      <w:lvlText w:val="%8."/>
      <w:lvlJc w:val="left"/>
      <w:pPr>
        <w:ind w:left="5760" w:hanging="360"/>
      </w:pPr>
    </w:lvl>
    <w:lvl w:ilvl="8" w:tplc="63669F58">
      <w:start w:val="1"/>
      <w:numFmt w:val="lowerRoman"/>
      <w:lvlText w:val="%9."/>
      <w:lvlJc w:val="right"/>
      <w:pPr>
        <w:ind w:left="6480" w:hanging="180"/>
      </w:pPr>
    </w:lvl>
  </w:abstractNum>
  <w:abstractNum w:abstractNumId="1" w15:restartNumberingAfterBreak="0">
    <w:nsid w:val="133B0E2A"/>
    <w:multiLevelType w:val="hybridMultilevel"/>
    <w:tmpl w:val="64D49BD6"/>
    <w:lvl w:ilvl="0" w:tplc="D1F2D134">
      <w:start w:val="1"/>
      <w:numFmt w:val="decimal"/>
      <w:lvlText w:val="%1."/>
      <w:lvlJc w:val="left"/>
      <w:pPr>
        <w:ind w:left="720" w:hanging="360"/>
      </w:pPr>
    </w:lvl>
    <w:lvl w:ilvl="1" w:tplc="6664A43C">
      <w:start w:val="1"/>
      <w:numFmt w:val="lowerLetter"/>
      <w:lvlText w:val="%2."/>
      <w:lvlJc w:val="left"/>
      <w:pPr>
        <w:ind w:left="1440" w:hanging="360"/>
      </w:pPr>
    </w:lvl>
    <w:lvl w:ilvl="2" w:tplc="2BEC6484">
      <w:start w:val="1"/>
      <w:numFmt w:val="lowerRoman"/>
      <w:lvlText w:val="%3."/>
      <w:lvlJc w:val="right"/>
      <w:pPr>
        <w:ind w:left="2160" w:hanging="180"/>
      </w:pPr>
    </w:lvl>
    <w:lvl w:ilvl="3" w:tplc="7E561040">
      <w:start w:val="1"/>
      <w:numFmt w:val="decimal"/>
      <w:lvlText w:val="%4."/>
      <w:lvlJc w:val="left"/>
      <w:pPr>
        <w:ind w:left="2880" w:hanging="360"/>
      </w:pPr>
    </w:lvl>
    <w:lvl w:ilvl="4" w:tplc="B5FC3D4A">
      <w:start w:val="1"/>
      <w:numFmt w:val="lowerLetter"/>
      <w:lvlText w:val="%5."/>
      <w:lvlJc w:val="left"/>
      <w:pPr>
        <w:ind w:left="3600" w:hanging="360"/>
      </w:pPr>
    </w:lvl>
    <w:lvl w:ilvl="5" w:tplc="CB30AB0E">
      <w:start w:val="1"/>
      <w:numFmt w:val="lowerRoman"/>
      <w:lvlText w:val="%6."/>
      <w:lvlJc w:val="right"/>
      <w:pPr>
        <w:ind w:left="4320" w:hanging="180"/>
      </w:pPr>
    </w:lvl>
    <w:lvl w:ilvl="6" w:tplc="C8782FF2">
      <w:start w:val="1"/>
      <w:numFmt w:val="decimal"/>
      <w:lvlText w:val="%7."/>
      <w:lvlJc w:val="left"/>
      <w:pPr>
        <w:ind w:left="5040" w:hanging="360"/>
      </w:pPr>
    </w:lvl>
    <w:lvl w:ilvl="7" w:tplc="DF265674">
      <w:start w:val="1"/>
      <w:numFmt w:val="lowerLetter"/>
      <w:lvlText w:val="%8."/>
      <w:lvlJc w:val="left"/>
      <w:pPr>
        <w:ind w:left="5760" w:hanging="360"/>
      </w:pPr>
    </w:lvl>
    <w:lvl w:ilvl="8" w:tplc="00CC1350">
      <w:start w:val="1"/>
      <w:numFmt w:val="lowerRoman"/>
      <w:lvlText w:val="%9."/>
      <w:lvlJc w:val="right"/>
      <w:pPr>
        <w:ind w:left="6480" w:hanging="180"/>
      </w:pPr>
    </w:lvl>
  </w:abstractNum>
  <w:abstractNum w:abstractNumId="2" w15:restartNumberingAfterBreak="0">
    <w:nsid w:val="1BEA34D8"/>
    <w:multiLevelType w:val="hybridMultilevel"/>
    <w:tmpl w:val="0A3A904C"/>
    <w:lvl w:ilvl="0" w:tplc="3460CF7A">
      <w:start w:val="1"/>
      <w:numFmt w:val="bullet"/>
      <w:lvlText w:val=""/>
      <w:lvlJc w:val="left"/>
      <w:pPr>
        <w:ind w:left="720" w:hanging="360"/>
      </w:pPr>
      <w:rPr>
        <w:rFonts w:ascii="Symbol" w:hAnsi="Symbol" w:hint="default"/>
      </w:rPr>
    </w:lvl>
    <w:lvl w:ilvl="1" w:tplc="14BE35B6">
      <w:start w:val="1"/>
      <w:numFmt w:val="bullet"/>
      <w:lvlText w:val="o"/>
      <w:lvlJc w:val="left"/>
      <w:pPr>
        <w:ind w:left="1440" w:hanging="360"/>
      </w:pPr>
      <w:rPr>
        <w:rFonts w:ascii="Courier New" w:hAnsi="Courier New" w:hint="default"/>
      </w:rPr>
    </w:lvl>
    <w:lvl w:ilvl="2" w:tplc="1652B39E">
      <w:start w:val="1"/>
      <w:numFmt w:val="bullet"/>
      <w:lvlText w:val=""/>
      <w:lvlJc w:val="left"/>
      <w:pPr>
        <w:ind w:left="2160" w:hanging="360"/>
      </w:pPr>
      <w:rPr>
        <w:rFonts w:ascii="Wingdings" w:hAnsi="Wingdings" w:hint="default"/>
      </w:rPr>
    </w:lvl>
    <w:lvl w:ilvl="3" w:tplc="2812C1CC">
      <w:start w:val="1"/>
      <w:numFmt w:val="bullet"/>
      <w:lvlText w:val=""/>
      <w:lvlJc w:val="left"/>
      <w:pPr>
        <w:ind w:left="2880" w:hanging="360"/>
      </w:pPr>
      <w:rPr>
        <w:rFonts w:ascii="Symbol" w:hAnsi="Symbol" w:hint="default"/>
      </w:rPr>
    </w:lvl>
    <w:lvl w:ilvl="4" w:tplc="4C3E621C">
      <w:start w:val="1"/>
      <w:numFmt w:val="bullet"/>
      <w:lvlText w:val="o"/>
      <w:lvlJc w:val="left"/>
      <w:pPr>
        <w:ind w:left="3600" w:hanging="360"/>
      </w:pPr>
      <w:rPr>
        <w:rFonts w:ascii="Courier New" w:hAnsi="Courier New" w:hint="default"/>
      </w:rPr>
    </w:lvl>
    <w:lvl w:ilvl="5" w:tplc="2884BF9A">
      <w:start w:val="1"/>
      <w:numFmt w:val="bullet"/>
      <w:lvlText w:val=""/>
      <w:lvlJc w:val="left"/>
      <w:pPr>
        <w:ind w:left="4320" w:hanging="360"/>
      </w:pPr>
      <w:rPr>
        <w:rFonts w:ascii="Wingdings" w:hAnsi="Wingdings" w:hint="default"/>
      </w:rPr>
    </w:lvl>
    <w:lvl w:ilvl="6" w:tplc="08D078FE">
      <w:start w:val="1"/>
      <w:numFmt w:val="bullet"/>
      <w:lvlText w:val=""/>
      <w:lvlJc w:val="left"/>
      <w:pPr>
        <w:ind w:left="5040" w:hanging="360"/>
      </w:pPr>
      <w:rPr>
        <w:rFonts w:ascii="Symbol" w:hAnsi="Symbol" w:hint="default"/>
      </w:rPr>
    </w:lvl>
    <w:lvl w:ilvl="7" w:tplc="48682598">
      <w:start w:val="1"/>
      <w:numFmt w:val="bullet"/>
      <w:lvlText w:val="o"/>
      <w:lvlJc w:val="left"/>
      <w:pPr>
        <w:ind w:left="5760" w:hanging="360"/>
      </w:pPr>
      <w:rPr>
        <w:rFonts w:ascii="Courier New" w:hAnsi="Courier New" w:hint="default"/>
      </w:rPr>
    </w:lvl>
    <w:lvl w:ilvl="8" w:tplc="8DDC9882">
      <w:start w:val="1"/>
      <w:numFmt w:val="bullet"/>
      <w:lvlText w:val=""/>
      <w:lvlJc w:val="left"/>
      <w:pPr>
        <w:ind w:left="6480" w:hanging="360"/>
      </w:pPr>
      <w:rPr>
        <w:rFonts w:ascii="Wingdings" w:hAnsi="Wingdings" w:hint="default"/>
      </w:rPr>
    </w:lvl>
  </w:abstractNum>
  <w:abstractNum w:abstractNumId="3" w15:restartNumberingAfterBreak="0">
    <w:nsid w:val="2F433CDF"/>
    <w:multiLevelType w:val="hybridMultilevel"/>
    <w:tmpl w:val="E11A3EDE"/>
    <w:lvl w:ilvl="0" w:tplc="50F645D8">
      <w:start w:val="1"/>
      <w:numFmt w:val="bullet"/>
      <w:lvlText w:val=""/>
      <w:lvlJc w:val="left"/>
      <w:pPr>
        <w:ind w:left="720" w:hanging="360"/>
      </w:pPr>
      <w:rPr>
        <w:rFonts w:ascii="Symbol" w:hAnsi="Symbol" w:hint="default"/>
      </w:rPr>
    </w:lvl>
    <w:lvl w:ilvl="1" w:tplc="CF6C050A">
      <w:start w:val="1"/>
      <w:numFmt w:val="bullet"/>
      <w:lvlText w:val="o"/>
      <w:lvlJc w:val="left"/>
      <w:pPr>
        <w:ind w:left="1440" w:hanging="360"/>
      </w:pPr>
      <w:rPr>
        <w:rFonts w:ascii="Courier New" w:hAnsi="Courier New" w:hint="default"/>
      </w:rPr>
    </w:lvl>
    <w:lvl w:ilvl="2" w:tplc="9AB8310A">
      <w:start w:val="1"/>
      <w:numFmt w:val="bullet"/>
      <w:lvlText w:val=""/>
      <w:lvlJc w:val="left"/>
      <w:pPr>
        <w:ind w:left="2160" w:hanging="360"/>
      </w:pPr>
      <w:rPr>
        <w:rFonts w:ascii="Wingdings" w:hAnsi="Wingdings" w:hint="default"/>
      </w:rPr>
    </w:lvl>
    <w:lvl w:ilvl="3" w:tplc="C4B87F36">
      <w:start w:val="1"/>
      <w:numFmt w:val="bullet"/>
      <w:lvlText w:val=""/>
      <w:lvlJc w:val="left"/>
      <w:pPr>
        <w:ind w:left="2880" w:hanging="360"/>
      </w:pPr>
      <w:rPr>
        <w:rFonts w:ascii="Symbol" w:hAnsi="Symbol" w:hint="default"/>
      </w:rPr>
    </w:lvl>
    <w:lvl w:ilvl="4" w:tplc="D4847E7A">
      <w:start w:val="1"/>
      <w:numFmt w:val="bullet"/>
      <w:lvlText w:val="o"/>
      <w:lvlJc w:val="left"/>
      <w:pPr>
        <w:ind w:left="3600" w:hanging="360"/>
      </w:pPr>
      <w:rPr>
        <w:rFonts w:ascii="Courier New" w:hAnsi="Courier New" w:hint="default"/>
      </w:rPr>
    </w:lvl>
    <w:lvl w:ilvl="5" w:tplc="96DE36A4">
      <w:start w:val="1"/>
      <w:numFmt w:val="bullet"/>
      <w:lvlText w:val=""/>
      <w:lvlJc w:val="left"/>
      <w:pPr>
        <w:ind w:left="4320" w:hanging="360"/>
      </w:pPr>
      <w:rPr>
        <w:rFonts w:ascii="Wingdings" w:hAnsi="Wingdings" w:hint="default"/>
      </w:rPr>
    </w:lvl>
    <w:lvl w:ilvl="6" w:tplc="9AD8DD04">
      <w:start w:val="1"/>
      <w:numFmt w:val="bullet"/>
      <w:lvlText w:val=""/>
      <w:lvlJc w:val="left"/>
      <w:pPr>
        <w:ind w:left="5040" w:hanging="360"/>
      </w:pPr>
      <w:rPr>
        <w:rFonts w:ascii="Symbol" w:hAnsi="Symbol" w:hint="default"/>
      </w:rPr>
    </w:lvl>
    <w:lvl w:ilvl="7" w:tplc="9ECA3DEC">
      <w:start w:val="1"/>
      <w:numFmt w:val="bullet"/>
      <w:lvlText w:val="o"/>
      <w:lvlJc w:val="left"/>
      <w:pPr>
        <w:ind w:left="5760" w:hanging="360"/>
      </w:pPr>
      <w:rPr>
        <w:rFonts w:ascii="Courier New" w:hAnsi="Courier New" w:hint="default"/>
      </w:rPr>
    </w:lvl>
    <w:lvl w:ilvl="8" w:tplc="FE908F94">
      <w:start w:val="1"/>
      <w:numFmt w:val="bullet"/>
      <w:lvlText w:val=""/>
      <w:lvlJc w:val="left"/>
      <w:pPr>
        <w:ind w:left="6480" w:hanging="360"/>
      </w:pPr>
      <w:rPr>
        <w:rFonts w:ascii="Wingdings" w:hAnsi="Wingdings" w:hint="default"/>
      </w:rPr>
    </w:lvl>
  </w:abstractNum>
  <w:abstractNum w:abstractNumId="4" w15:restartNumberingAfterBreak="0">
    <w:nsid w:val="550A346D"/>
    <w:multiLevelType w:val="hybridMultilevel"/>
    <w:tmpl w:val="3C04CD3C"/>
    <w:lvl w:ilvl="0" w:tplc="FFCCF2E4">
      <w:start w:val="1"/>
      <w:numFmt w:val="bullet"/>
      <w:lvlText w:val=""/>
      <w:lvlJc w:val="left"/>
      <w:pPr>
        <w:ind w:left="720" w:hanging="360"/>
      </w:pPr>
      <w:rPr>
        <w:rFonts w:ascii="Symbol" w:hAnsi="Symbol" w:hint="default"/>
      </w:rPr>
    </w:lvl>
    <w:lvl w:ilvl="1" w:tplc="D30AD4D0">
      <w:start w:val="1"/>
      <w:numFmt w:val="bullet"/>
      <w:lvlText w:val="o"/>
      <w:lvlJc w:val="left"/>
      <w:pPr>
        <w:ind w:left="1440" w:hanging="360"/>
      </w:pPr>
      <w:rPr>
        <w:rFonts w:ascii="Courier New" w:hAnsi="Courier New" w:hint="default"/>
      </w:rPr>
    </w:lvl>
    <w:lvl w:ilvl="2" w:tplc="BBB2286A">
      <w:start w:val="1"/>
      <w:numFmt w:val="bullet"/>
      <w:lvlText w:val=""/>
      <w:lvlJc w:val="left"/>
      <w:pPr>
        <w:ind w:left="2160" w:hanging="360"/>
      </w:pPr>
      <w:rPr>
        <w:rFonts w:ascii="Wingdings" w:hAnsi="Wingdings" w:hint="default"/>
      </w:rPr>
    </w:lvl>
    <w:lvl w:ilvl="3" w:tplc="D0CCB93C">
      <w:start w:val="1"/>
      <w:numFmt w:val="bullet"/>
      <w:lvlText w:val=""/>
      <w:lvlJc w:val="left"/>
      <w:pPr>
        <w:ind w:left="2880" w:hanging="360"/>
      </w:pPr>
      <w:rPr>
        <w:rFonts w:ascii="Symbol" w:hAnsi="Symbol" w:hint="default"/>
      </w:rPr>
    </w:lvl>
    <w:lvl w:ilvl="4" w:tplc="AB56AA10">
      <w:start w:val="1"/>
      <w:numFmt w:val="bullet"/>
      <w:lvlText w:val="o"/>
      <w:lvlJc w:val="left"/>
      <w:pPr>
        <w:ind w:left="3600" w:hanging="360"/>
      </w:pPr>
      <w:rPr>
        <w:rFonts w:ascii="Courier New" w:hAnsi="Courier New" w:hint="default"/>
      </w:rPr>
    </w:lvl>
    <w:lvl w:ilvl="5" w:tplc="C2D4C234">
      <w:start w:val="1"/>
      <w:numFmt w:val="bullet"/>
      <w:lvlText w:val=""/>
      <w:lvlJc w:val="left"/>
      <w:pPr>
        <w:ind w:left="4320" w:hanging="360"/>
      </w:pPr>
      <w:rPr>
        <w:rFonts w:ascii="Wingdings" w:hAnsi="Wingdings" w:hint="default"/>
      </w:rPr>
    </w:lvl>
    <w:lvl w:ilvl="6" w:tplc="CD3E627A">
      <w:start w:val="1"/>
      <w:numFmt w:val="bullet"/>
      <w:lvlText w:val=""/>
      <w:lvlJc w:val="left"/>
      <w:pPr>
        <w:ind w:left="5040" w:hanging="360"/>
      </w:pPr>
      <w:rPr>
        <w:rFonts w:ascii="Symbol" w:hAnsi="Symbol" w:hint="default"/>
      </w:rPr>
    </w:lvl>
    <w:lvl w:ilvl="7" w:tplc="467C722E">
      <w:start w:val="1"/>
      <w:numFmt w:val="bullet"/>
      <w:lvlText w:val="o"/>
      <w:lvlJc w:val="left"/>
      <w:pPr>
        <w:ind w:left="5760" w:hanging="360"/>
      </w:pPr>
      <w:rPr>
        <w:rFonts w:ascii="Courier New" w:hAnsi="Courier New" w:hint="default"/>
      </w:rPr>
    </w:lvl>
    <w:lvl w:ilvl="8" w:tplc="E3AA83EE">
      <w:start w:val="1"/>
      <w:numFmt w:val="bullet"/>
      <w:lvlText w:val=""/>
      <w:lvlJc w:val="left"/>
      <w:pPr>
        <w:ind w:left="6480" w:hanging="360"/>
      </w:pPr>
      <w:rPr>
        <w:rFonts w:ascii="Wingdings" w:hAnsi="Wingdings" w:hint="default"/>
      </w:rPr>
    </w:lvl>
  </w:abstractNum>
  <w:abstractNum w:abstractNumId="5" w15:restartNumberingAfterBreak="0">
    <w:nsid w:val="5685A68E"/>
    <w:multiLevelType w:val="hybridMultilevel"/>
    <w:tmpl w:val="B73274C8"/>
    <w:lvl w:ilvl="0" w:tplc="943A1368">
      <w:start w:val="1"/>
      <w:numFmt w:val="bullet"/>
      <w:lvlText w:val=""/>
      <w:lvlJc w:val="left"/>
      <w:pPr>
        <w:ind w:left="720" w:hanging="360"/>
      </w:pPr>
      <w:rPr>
        <w:rFonts w:ascii="Symbol" w:hAnsi="Symbol" w:hint="default"/>
      </w:rPr>
    </w:lvl>
    <w:lvl w:ilvl="1" w:tplc="E6D6296E">
      <w:start w:val="1"/>
      <w:numFmt w:val="bullet"/>
      <w:lvlText w:val="o"/>
      <w:lvlJc w:val="left"/>
      <w:pPr>
        <w:ind w:left="1440" w:hanging="360"/>
      </w:pPr>
      <w:rPr>
        <w:rFonts w:ascii="Courier New" w:hAnsi="Courier New" w:hint="default"/>
      </w:rPr>
    </w:lvl>
    <w:lvl w:ilvl="2" w:tplc="D9506DB4">
      <w:start w:val="1"/>
      <w:numFmt w:val="bullet"/>
      <w:lvlText w:val=""/>
      <w:lvlJc w:val="left"/>
      <w:pPr>
        <w:ind w:left="2160" w:hanging="360"/>
      </w:pPr>
      <w:rPr>
        <w:rFonts w:ascii="Wingdings" w:hAnsi="Wingdings" w:hint="default"/>
      </w:rPr>
    </w:lvl>
    <w:lvl w:ilvl="3" w:tplc="F976B046">
      <w:start w:val="1"/>
      <w:numFmt w:val="bullet"/>
      <w:lvlText w:val=""/>
      <w:lvlJc w:val="left"/>
      <w:pPr>
        <w:ind w:left="2880" w:hanging="360"/>
      </w:pPr>
      <w:rPr>
        <w:rFonts w:ascii="Symbol" w:hAnsi="Symbol" w:hint="default"/>
      </w:rPr>
    </w:lvl>
    <w:lvl w:ilvl="4" w:tplc="20C80FF8">
      <w:start w:val="1"/>
      <w:numFmt w:val="bullet"/>
      <w:lvlText w:val="o"/>
      <w:lvlJc w:val="left"/>
      <w:pPr>
        <w:ind w:left="3600" w:hanging="360"/>
      </w:pPr>
      <w:rPr>
        <w:rFonts w:ascii="Courier New" w:hAnsi="Courier New" w:hint="default"/>
      </w:rPr>
    </w:lvl>
    <w:lvl w:ilvl="5" w:tplc="E586D744">
      <w:start w:val="1"/>
      <w:numFmt w:val="bullet"/>
      <w:lvlText w:val=""/>
      <w:lvlJc w:val="left"/>
      <w:pPr>
        <w:ind w:left="4320" w:hanging="360"/>
      </w:pPr>
      <w:rPr>
        <w:rFonts w:ascii="Wingdings" w:hAnsi="Wingdings" w:hint="default"/>
      </w:rPr>
    </w:lvl>
    <w:lvl w:ilvl="6" w:tplc="EAE286E2">
      <w:start w:val="1"/>
      <w:numFmt w:val="bullet"/>
      <w:lvlText w:val=""/>
      <w:lvlJc w:val="left"/>
      <w:pPr>
        <w:ind w:left="5040" w:hanging="360"/>
      </w:pPr>
      <w:rPr>
        <w:rFonts w:ascii="Symbol" w:hAnsi="Symbol" w:hint="default"/>
      </w:rPr>
    </w:lvl>
    <w:lvl w:ilvl="7" w:tplc="1D98C1E8">
      <w:start w:val="1"/>
      <w:numFmt w:val="bullet"/>
      <w:lvlText w:val="o"/>
      <w:lvlJc w:val="left"/>
      <w:pPr>
        <w:ind w:left="5760" w:hanging="360"/>
      </w:pPr>
      <w:rPr>
        <w:rFonts w:ascii="Courier New" w:hAnsi="Courier New" w:hint="default"/>
      </w:rPr>
    </w:lvl>
    <w:lvl w:ilvl="8" w:tplc="7D5A4448">
      <w:start w:val="1"/>
      <w:numFmt w:val="bullet"/>
      <w:lvlText w:val=""/>
      <w:lvlJc w:val="left"/>
      <w:pPr>
        <w:ind w:left="6480" w:hanging="360"/>
      </w:pPr>
      <w:rPr>
        <w:rFonts w:ascii="Wingdings" w:hAnsi="Wingdings" w:hint="default"/>
      </w:rPr>
    </w:lvl>
  </w:abstractNum>
  <w:abstractNum w:abstractNumId="6" w15:restartNumberingAfterBreak="0">
    <w:nsid w:val="5FEB8B6A"/>
    <w:multiLevelType w:val="hybridMultilevel"/>
    <w:tmpl w:val="6450E2C2"/>
    <w:lvl w:ilvl="0" w:tplc="C89EEB42">
      <w:start w:val="1"/>
      <w:numFmt w:val="bullet"/>
      <w:lvlText w:val=""/>
      <w:lvlJc w:val="left"/>
      <w:pPr>
        <w:ind w:left="720" w:hanging="360"/>
      </w:pPr>
      <w:rPr>
        <w:rFonts w:ascii="Symbol" w:hAnsi="Symbol" w:hint="default"/>
      </w:rPr>
    </w:lvl>
    <w:lvl w:ilvl="1" w:tplc="E1528916">
      <w:start w:val="1"/>
      <w:numFmt w:val="bullet"/>
      <w:lvlText w:val="o"/>
      <w:lvlJc w:val="left"/>
      <w:pPr>
        <w:ind w:left="1440" w:hanging="360"/>
      </w:pPr>
      <w:rPr>
        <w:rFonts w:ascii="Courier New" w:hAnsi="Courier New" w:hint="default"/>
      </w:rPr>
    </w:lvl>
    <w:lvl w:ilvl="2" w:tplc="85DEF75E">
      <w:start w:val="1"/>
      <w:numFmt w:val="bullet"/>
      <w:lvlText w:val=""/>
      <w:lvlJc w:val="left"/>
      <w:pPr>
        <w:ind w:left="2160" w:hanging="360"/>
      </w:pPr>
      <w:rPr>
        <w:rFonts w:ascii="Wingdings" w:hAnsi="Wingdings" w:hint="default"/>
      </w:rPr>
    </w:lvl>
    <w:lvl w:ilvl="3" w:tplc="8E3407C6">
      <w:start w:val="1"/>
      <w:numFmt w:val="bullet"/>
      <w:lvlText w:val=""/>
      <w:lvlJc w:val="left"/>
      <w:pPr>
        <w:ind w:left="2880" w:hanging="360"/>
      </w:pPr>
      <w:rPr>
        <w:rFonts w:ascii="Symbol" w:hAnsi="Symbol" w:hint="default"/>
      </w:rPr>
    </w:lvl>
    <w:lvl w:ilvl="4" w:tplc="921490C2">
      <w:start w:val="1"/>
      <w:numFmt w:val="bullet"/>
      <w:lvlText w:val="o"/>
      <w:lvlJc w:val="left"/>
      <w:pPr>
        <w:ind w:left="3600" w:hanging="360"/>
      </w:pPr>
      <w:rPr>
        <w:rFonts w:ascii="Courier New" w:hAnsi="Courier New" w:hint="default"/>
      </w:rPr>
    </w:lvl>
    <w:lvl w:ilvl="5" w:tplc="0AAA5B9E">
      <w:start w:val="1"/>
      <w:numFmt w:val="bullet"/>
      <w:lvlText w:val=""/>
      <w:lvlJc w:val="left"/>
      <w:pPr>
        <w:ind w:left="4320" w:hanging="360"/>
      </w:pPr>
      <w:rPr>
        <w:rFonts w:ascii="Wingdings" w:hAnsi="Wingdings" w:hint="default"/>
      </w:rPr>
    </w:lvl>
    <w:lvl w:ilvl="6" w:tplc="308A89DC">
      <w:start w:val="1"/>
      <w:numFmt w:val="bullet"/>
      <w:lvlText w:val=""/>
      <w:lvlJc w:val="left"/>
      <w:pPr>
        <w:ind w:left="5040" w:hanging="360"/>
      </w:pPr>
      <w:rPr>
        <w:rFonts w:ascii="Symbol" w:hAnsi="Symbol" w:hint="default"/>
      </w:rPr>
    </w:lvl>
    <w:lvl w:ilvl="7" w:tplc="4B74F54A">
      <w:start w:val="1"/>
      <w:numFmt w:val="bullet"/>
      <w:lvlText w:val="o"/>
      <w:lvlJc w:val="left"/>
      <w:pPr>
        <w:ind w:left="5760" w:hanging="360"/>
      </w:pPr>
      <w:rPr>
        <w:rFonts w:ascii="Courier New" w:hAnsi="Courier New" w:hint="default"/>
      </w:rPr>
    </w:lvl>
    <w:lvl w:ilvl="8" w:tplc="9C4CB2E2">
      <w:start w:val="1"/>
      <w:numFmt w:val="bullet"/>
      <w:lvlText w:val=""/>
      <w:lvlJc w:val="left"/>
      <w:pPr>
        <w:ind w:left="6480" w:hanging="360"/>
      </w:pPr>
      <w:rPr>
        <w:rFonts w:ascii="Wingdings" w:hAnsi="Wingdings" w:hint="default"/>
      </w:rPr>
    </w:lvl>
  </w:abstractNum>
  <w:abstractNum w:abstractNumId="7" w15:restartNumberingAfterBreak="0">
    <w:nsid w:val="6AE3334D"/>
    <w:multiLevelType w:val="hybridMultilevel"/>
    <w:tmpl w:val="5E24F88E"/>
    <w:lvl w:ilvl="0" w:tplc="0040FC34">
      <w:start w:val="1"/>
      <w:numFmt w:val="bullet"/>
      <w:lvlText w:val=""/>
      <w:lvlJc w:val="left"/>
      <w:pPr>
        <w:ind w:left="720" w:hanging="360"/>
      </w:pPr>
      <w:rPr>
        <w:rFonts w:ascii="Symbol" w:hAnsi="Symbol" w:hint="default"/>
      </w:rPr>
    </w:lvl>
    <w:lvl w:ilvl="1" w:tplc="1B82AF58">
      <w:start w:val="1"/>
      <w:numFmt w:val="bullet"/>
      <w:lvlText w:val="o"/>
      <w:lvlJc w:val="left"/>
      <w:pPr>
        <w:ind w:left="1440" w:hanging="360"/>
      </w:pPr>
      <w:rPr>
        <w:rFonts w:ascii="Courier New" w:hAnsi="Courier New" w:hint="default"/>
      </w:rPr>
    </w:lvl>
    <w:lvl w:ilvl="2" w:tplc="761A20B4">
      <w:start w:val="1"/>
      <w:numFmt w:val="bullet"/>
      <w:lvlText w:val=""/>
      <w:lvlJc w:val="left"/>
      <w:pPr>
        <w:ind w:left="2160" w:hanging="360"/>
      </w:pPr>
      <w:rPr>
        <w:rFonts w:ascii="Wingdings" w:hAnsi="Wingdings" w:hint="default"/>
      </w:rPr>
    </w:lvl>
    <w:lvl w:ilvl="3" w:tplc="E4D07E22">
      <w:start w:val="1"/>
      <w:numFmt w:val="bullet"/>
      <w:lvlText w:val=""/>
      <w:lvlJc w:val="left"/>
      <w:pPr>
        <w:ind w:left="2880" w:hanging="360"/>
      </w:pPr>
      <w:rPr>
        <w:rFonts w:ascii="Symbol" w:hAnsi="Symbol" w:hint="default"/>
      </w:rPr>
    </w:lvl>
    <w:lvl w:ilvl="4" w:tplc="56EAD48A">
      <w:start w:val="1"/>
      <w:numFmt w:val="bullet"/>
      <w:lvlText w:val="o"/>
      <w:lvlJc w:val="left"/>
      <w:pPr>
        <w:ind w:left="3600" w:hanging="360"/>
      </w:pPr>
      <w:rPr>
        <w:rFonts w:ascii="Courier New" w:hAnsi="Courier New" w:hint="default"/>
      </w:rPr>
    </w:lvl>
    <w:lvl w:ilvl="5" w:tplc="5DE6CE9C">
      <w:start w:val="1"/>
      <w:numFmt w:val="bullet"/>
      <w:lvlText w:val=""/>
      <w:lvlJc w:val="left"/>
      <w:pPr>
        <w:ind w:left="4320" w:hanging="360"/>
      </w:pPr>
      <w:rPr>
        <w:rFonts w:ascii="Wingdings" w:hAnsi="Wingdings" w:hint="default"/>
      </w:rPr>
    </w:lvl>
    <w:lvl w:ilvl="6" w:tplc="B34265E2">
      <w:start w:val="1"/>
      <w:numFmt w:val="bullet"/>
      <w:lvlText w:val=""/>
      <w:lvlJc w:val="left"/>
      <w:pPr>
        <w:ind w:left="5040" w:hanging="360"/>
      </w:pPr>
      <w:rPr>
        <w:rFonts w:ascii="Symbol" w:hAnsi="Symbol" w:hint="default"/>
      </w:rPr>
    </w:lvl>
    <w:lvl w:ilvl="7" w:tplc="2F7AA516">
      <w:start w:val="1"/>
      <w:numFmt w:val="bullet"/>
      <w:lvlText w:val="o"/>
      <w:lvlJc w:val="left"/>
      <w:pPr>
        <w:ind w:left="5760" w:hanging="360"/>
      </w:pPr>
      <w:rPr>
        <w:rFonts w:ascii="Courier New" w:hAnsi="Courier New" w:hint="default"/>
      </w:rPr>
    </w:lvl>
    <w:lvl w:ilvl="8" w:tplc="E2CC4D36">
      <w:start w:val="1"/>
      <w:numFmt w:val="bullet"/>
      <w:lvlText w:val=""/>
      <w:lvlJc w:val="left"/>
      <w:pPr>
        <w:ind w:left="6480" w:hanging="360"/>
      </w:pPr>
      <w:rPr>
        <w:rFonts w:ascii="Wingdings" w:hAnsi="Wingdings" w:hint="default"/>
      </w:rPr>
    </w:lvl>
  </w:abstractNum>
  <w:abstractNum w:abstractNumId="8" w15:restartNumberingAfterBreak="0">
    <w:nsid w:val="7668A12B"/>
    <w:multiLevelType w:val="hybridMultilevel"/>
    <w:tmpl w:val="AD54F2BE"/>
    <w:lvl w:ilvl="0" w:tplc="02A6EA5A">
      <w:start w:val="1"/>
      <w:numFmt w:val="bullet"/>
      <w:lvlText w:val=""/>
      <w:lvlJc w:val="left"/>
      <w:pPr>
        <w:ind w:left="720" w:hanging="360"/>
      </w:pPr>
      <w:rPr>
        <w:rFonts w:ascii="Symbol" w:hAnsi="Symbol" w:hint="default"/>
      </w:rPr>
    </w:lvl>
    <w:lvl w:ilvl="1" w:tplc="1584AB12">
      <w:start w:val="1"/>
      <w:numFmt w:val="bullet"/>
      <w:lvlText w:val="o"/>
      <w:lvlJc w:val="left"/>
      <w:pPr>
        <w:ind w:left="1440" w:hanging="360"/>
      </w:pPr>
      <w:rPr>
        <w:rFonts w:ascii="Courier New" w:hAnsi="Courier New" w:hint="default"/>
      </w:rPr>
    </w:lvl>
    <w:lvl w:ilvl="2" w:tplc="4FCCADC0">
      <w:start w:val="1"/>
      <w:numFmt w:val="bullet"/>
      <w:lvlText w:val=""/>
      <w:lvlJc w:val="left"/>
      <w:pPr>
        <w:ind w:left="2160" w:hanging="360"/>
      </w:pPr>
      <w:rPr>
        <w:rFonts w:ascii="Wingdings" w:hAnsi="Wingdings" w:hint="default"/>
      </w:rPr>
    </w:lvl>
    <w:lvl w:ilvl="3" w:tplc="26084FC8">
      <w:start w:val="1"/>
      <w:numFmt w:val="bullet"/>
      <w:lvlText w:val=""/>
      <w:lvlJc w:val="left"/>
      <w:pPr>
        <w:ind w:left="2880" w:hanging="360"/>
      </w:pPr>
      <w:rPr>
        <w:rFonts w:ascii="Symbol" w:hAnsi="Symbol" w:hint="default"/>
      </w:rPr>
    </w:lvl>
    <w:lvl w:ilvl="4" w:tplc="23FA9CD8">
      <w:start w:val="1"/>
      <w:numFmt w:val="bullet"/>
      <w:lvlText w:val="o"/>
      <w:lvlJc w:val="left"/>
      <w:pPr>
        <w:ind w:left="3600" w:hanging="360"/>
      </w:pPr>
      <w:rPr>
        <w:rFonts w:ascii="Courier New" w:hAnsi="Courier New" w:hint="default"/>
      </w:rPr>
    </w:lvl>
    <w:lvl w:ilvl="5" w:tplc="9A66E378">
      <w:start w:val="1"/>
      <w:numFmt w:val="bullet"/>
      <w:lvlText w:val=""/>
      <w:lvlJc w:val="left"/>
      <w:pPr>
        <w:ind w:left="4320" w:hanging="360"/>
      </w:pPr>
      <w:rPr>
        <w:rFonts w:ascii="Wingdings" w:hAnsi="Wingdings" w:hint="default"/>
      </w:rPr>
    </w:lvl>
    <w:lvl w:ilvl="6" w:tplc="28FA4550">
      <w:start w:val="1"/>
      <w:numFmt w:val="bullet"/>
      <w:lvlText w:val=""/>
      <w:lvlJc w:val="left"/>
      <w:pPr>
        <w:ind w:left="5040" w:hanging="360"/>
      </w:pPr>
      <w:rPr>
        <w:rFonts w:ascii="Symbol" w:hAnsi="Symbol" w:hint="default"/>
      </w:rPr>
    </w:lvl>
    <w:lvl w:ilvl="7" w:tplc="5956BAEE">
      <w:start w:val="1"/>
      <w:numFmt w:val="bullet"/>
      <w:lvlText w:val="o"/>
      <w:lvlJc w:val="left"/>
      <w:pPr>
        <w:ind w:left="5760" w:hanging="360"/>
      </w:pPr>
      <w:rPr>
        <w:rFonts w:ascii="Courier New" w:hAnsi="Courier New" w:hint="default"/>
      </w:rPr>
    </w:lvl>
    <w:lvl w:ilvl="8" w:tplc="C47692D2">
      <w:start w:val="1"/>
      <w:numFmt w:val="bullet"/>
      <w:lvlText w:val=""/>
      <w:lvlJc w:val="left"/>
      <w:pPr>
        <w:ind w:left="6480" w:hanging="360"/>
      </w:pPr>
      <w:rPr>
        <w:rFonts w:ascii="Wingdings" w:hAnsi="Wingdings" w:hint="default"/>
      </w:rPr>
    </w:lvl>
  </w:abstractNum>
  <w:abstractNum w:abstractNumId="9" w15:restartNumberingAfterBreak="0">
    <w:nsid w:val="7711BACD"/>
    <w:multiLevelType w:val="hybridMultilevel"/>
    <w:tmpl w:val="3FDC4DAA"/>
    <w:lvl w:ilvl="0" w:tplc="D6E8FD86">
      <w:start w:val="1"/>
      <w:numFmt w:val="bullet"/>
      <w:lvlText w:val=""/>
      <w:lvlJc w:val="left"/>
      <w:pPr>
        <w:ind w:left="720" w:hanging="360"/>
      </w:pPr>
      <w:rPr>
        <w:rFonts w:ascii="Symbol" w:hAnsi="Symbol" w:hint="default"/>
      </w:rPr>
    </w:lvl>
    <w:lvl w:ilvl="1" w:tplc="8D3CA9AC">
      <w:start w:val="1"/>
      <w:numFmt w:val="bullet"/>
      <w:lvlText w:val="o"/>
      <w:lvlJc w:val="left"/>
      <w:pPr>
        <w:ind w:left="1440" w:hanging="360"/>
      </w:pPr>
      <w:rPr>
        <w:rFonts w:ascii="Courier New" w:hAnsi="Courier New" w:hint="default"/>
      </w:rPr>
    </w:lvl>
    <w:lvl w:ilvl="2" w:tplc="C91E07F6">
      <w:start w:val="1"/>
      <w:numFmt w:val="bullet"/>
      <w:lvlText w:val=""/>
      <w:lvlJc w:val="left"/>
      <w:pPr>
        <w:ind w:left="2160" w:hanging="360"/>
      </w:pPr>
      <w:rPr>
        <w:rFonts w:ascii="Wingdings" w:hAnsi="Wingdings" w:hint="default"/>
      </w:rPr>
    </w:lvl>
    <w:lvl w:ilvl="3" w:tplc="DF380C9A">
      <w:start w:val="1"/>
      <w:numFmt w:val="bullet"/>
      <w:lvlText w:val=""/>
      <w:lvlJc w:val="left"/>
      <w:pPr>
        <w:ind w:left="2880" w:hanging="360"/>
      </w:pPr>
      <w:rPr>
        <w:rFonts w:ascii="Symbol" w:hAnsi="Symbol" w:hint="default"/>
      </w:rPr>
    </w:lvl>
    <w:lvl w:ilvl="4" w:tplc="DAD4B0A2">
      <w:start w:val="1"/>
      <w:numFmt w:val="bullet"/>
      <w:lvlText w:val="o"/>
      <w:lvlJc w:val="left"/>
      <w:pPr>
        <w:ind w:left="3600" w:hanging="360"/>
      </w:pPr>
      <w:rPr>
        <w:rFonts w:ascii="Courier New" w:hAnsi="Courier New" w:hint="default"/>
      </w:rPr>
    </w:lvl>
    <w:lvl w:ilvl="5" w:tplc="BFCC88BA">
      <w:start w:val="1"/>
      <w:numFmt w:val="bullet"/>
      <w:lvlText w:val=""/>
      <w:lvlJc w:val="left"/>
      <w:pPr>
        <w:ind w:left="4320" w:hanging="360"/>
      </w:pPr>
      <w:rPr>
        <w:rFonts w:ascii="Wingdings" w:hAnsi="Wingdings" w:hint="default"/>
      </w:rPr>
    </w:lvl>
    <w:lvl w:ilvl="6" w:tplc="CE96E6C4">
      <w:start w:val="1"/>
      <w:numFmt w:val="bullet"/>
      <w:lvlText w:val=""/>
      <w:lvlJc w:val="left"/>
      <w:pPr>
        <w:ind w:left="5040" w:hanging="360"/>
      </w:pPr>
      <w:rPr>
        <w:rFonts w:ascii="Symbol" w:hAnsi="Symbol" w:hint="default"/>
      </w:rPr>
    </w:lvl>
    <w:lvl w:ilvl="7" w:tplc="7512C190">
      <w:start w:val="1"/>
      <w:numFmt w:val="bullet"/>
      <w:lvlText w:val="o"/>
      <w:lvlJc w:val="left"/>
      <w:pPr>
        <w:ind w:left="5760" w:hanging="360"/>
      </w:pPr>
      <w:rPr>
        <w:rFonts w:ascii="Courier New" w:hAnsi="Courier New" w:hint="default"/>
      </w:rPr>
    </w:lvl>
    <w:lvl w:ilvl="8" w:tplc="2A0698D2">
      <w:start w:val="1"/>
      <w:numFmt w:val="bullet"/>
      <w:lvlText w:val=""/>
      <w:lvlJc w:val="left"/>
      <w:pPr>
        <w:ind w:left="6480" w:hanging="360"/>
      </w:pPr>
      <w:rPr>
        <w:rFonts w:ascii="Wingdings" w:hAnsi="Wingdings" w:hint="default"/>
      </w:rPr>
    </w:lvl>
  </w:abstractNum>
  <w:num w:numId="1" w16cid:durableId="586304809">
    <w:abstractNumId w:val="2"/>
  </w:num>
  <w:num w:numId="2" w16cid:durableId="1522088824">
    <w:abstractNumId w:val="6"/>
  </w:num>
  <w:num w:numId="3" w16cid:durableId="761486651">
    <w:abstractNumId w:val="3"/>
  </w:num>
  <w:num w:numId="4" w16cid:durableId="1542326210">
    <w:abstractNumId w:val="5"/>
  </w:num>
  <w:num w:numId="5" w16cid:durableId="194197435">
    <w:abstractNumId w:val="4"/>
  </w:num>
  <w:num w:numId="6" w16cid:durableId="351880207">
    <w:abstractNumId w:val="8"/>
  </w:num>
  <w:num w:numId="7" w16cid:durableId="1059547633">
    <w:abstractNumId w:val="1"/>
  </w:num>
  <w:num w:numId="8" w16cid:durableId="1650788835">
    <w:abstractNumId w:val="7"/>
  </w:num>
  <w:num w:numId="9" w16cid:durableId="1170559622">
    <w:abstractNumId w:val="0"/>
  </w:num>
  <w:num w:numId="10" w16cid:durableId="196811796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42D0AF"/>
    <w:rsid w:val="008760AA"/>
    <w:rsid w:val="00BF3FD1"/>
    <w:rsid w:val="00F518A0"/>
    <w:rsid w:val="3742D0AF"/>
    <w:rsid w:val="55E02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A5AE"/>
  <w15:chartTrackingRefBased/>
  <w15:docId w15:val="{27E0AB69-7757-4352-A3A0-A5B3669C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5E02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5E02F9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ibm.com/docs/en/db2-genius-hub/1.1.x?topic=configuration-configuring-kerberos-authentication-db2-genius-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1269</Words>
  <Characters>7236</Characters>
  <Application>Microsoft Office Word</Application>
  <DocSecurity>0</DocSecurity>
  <Lines>60</Lines>
  <Paragraphs>16</Paragraphs>
  <ScaleCrop>false</ScaleCrop>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James</dc:creator>
  <cp:keywords/>
  <dc:description/>
  <cp:lastModifiedBy>JANA WONG</cp:lastModifiedBy>
  <cp:revision>2</cp:revision>
  <dcterms:created xsi:type="dcterms:W3CDTF">2026-07-09T23:53:00Z</dcterms:created>
  <dcterms:modified xsi:type="dcterms:W3CDTF">2026-07-09T23:53:00Z</dcterms:modified>
</cp:coreProperties>
</file>