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B0CC7" w14:textId="6148465A" w:rsidR="003E3885" w:rsidRPr="003E3885" w:rsidRDefault="003E3885" w:rsidP="003E3885">
      <w:pPr>
        <w:spacing w:before="100" w:beforeAutospacing="1" w:after="100" w:afterAutospacing="1" w:line="240" w:lineRule="auto"/>
        <w:jc w:val="center"/>
        <w:outlineLvl w:val="2"/>
        <w:rPr>
          <w:rFonts w:ascii="Calibri" w:hAnsi="Calibri" w:cs="Calibri"/>
          <w:b/>
          <w:bCs/>
          <w:sz w:val="28"/>
          <w:szCs w:val="28"/>
        </w:rPr>
      </w:pPr>
      <w:r w:rsidRPr="00335B0A">
        <w:rPr>
          <w:rFonts w:ascii="Calibri" w:hAnsi="Calibri" w:cs="Calibri"/>
          <w:b/>
          <w:bCs/>
          <w:sz w:val="28"/>
          <w:szCs w:val="28"/>
        </w:rPr>
        <w:t>Introducing IBM’s</w:t>
      </w:r>
      <w:r w:rsidRPr="00335B0A">
        <w:rPr>
          <w:rFonts w:ascii="Calibri" w:hAnsi="Calibri" w:cs="Calibri"/>
          <w:b/>
          <w:bCs/>
          <w:sz w:val="28"/>
          <w:szCs w:val="28"/>
        </w:rPr>
        <w:t xml:space="preserve"> Power10 Private Cloud Rack</w:t>
      </w:r>
      <w:r w:rsidRPr="00335B0A">
        <w:rPr>
          <w:rFonts w:ascii="Calibri" w:hAnsi="Calibri" w:cs="Calibri"/>
          <w:b/>
          <w:bCs/>
          <w:sz w:val="28"/>
          <w:szCs w:val="28"/>
        </w:rPr>
        <w:t xml:space="preserve"> </w:t>
      </w:r>
      <w:r w:rsidRPr="00335B0A">
        <w:rPr>
          <w:rFonts w:ascii="Calibri" w:hAnsi="Calibri" w:cs="Calibri"/>
          <w:b/>
          <w:bCs/>
          <w:sz w:val="28"/>
          <w:szCs w:val="28"/>
        </w:rPr>
        <w:t>for D</w:t>
      </w:r>
      <w:r w:rsidRPr="00335B0A">
        <w:rPr>
          <w:rFonts w:ascii="Calibri" w:hAnsi="Calibri" w:cs="Calibri"/>
          <w:b/>
          <w:bCs/>
          <w:sz w:val="28"/>
          <w:szCs w:val="28"/>
        </w:rPr>
        <w:t>b</w:t>
      </w:r>
      <w:r w:rsidRPr="00335B0A">
        <w:rPr>
          <w:rFonts w:ascii="Calibri" w:hAnsi="Calibri" w:cs="Calibri"/>
          <w:b/>
          <w:bCs/>
          <w:sz w:val="28"/>
          <w:szCs w:val="28"/>
        </w:rPr>
        <w:t>2 Warehouse Solution: Architecture, Scalability</w:t>
      </w:r>
      <w:r w:rsidRPr="00335B0A">
        <w:rPr>
          <w:rFonts w:ascii="Calibri" w:hAnsi="Calibri" w:cs="Calibri"/>
          <w:b/>
          <w:bCs/>
          <w:sz w:val="28"/>
          <w:szCs w:val="28"/>
        </w:rPr>
        <w:t xml:space="preserve">, and </w:t>
      </w:r>
      <w:r w:rsidRPr="00335B0A">
        <w:rPr>
          <w:rFonts w:ascii="Calibri" w:hAnsi="Calibri" w:cs="Calibri"/>
          <w:b/>
          <w:bCs/>
          <w:sz w:val="28"/>
          <w:szCs w:val="28"/>
        </w:rPr>
        <w:t>Performance</w:t>
      </w:r>
    </w:p>
    <w:p w14:paraId="0767964E" w14:textId="77777777" w:rsidR="00335B0A" w:rsidRPr="00335B0A" w:rsidRDefault="00335B0A" w:rsidP="00335B0A">
      <w:pPr>
        <w:pStyle w:val="NormalWeb"/>
        <w:rPr>
          <w:rFonts w:ascii="Calibri" w:hAnsi="Calibri" w:cs="Calibri"/>
        </w:rPr>
      </w:pPr>
      <w:r w:rsidRPr="00335B0A">
        <w:rPr>
          <w:rFonts w:ascii="Calibri" w:hAnsi="Calibri" w:cs="Calibri"/>
        </w:rPr>
        <w:t>IBM’s Power10 Private Cloud Rack for Db2 Warehouse (P10 PCR) Solution represents the next generation of the IBM Integrated Analytics System (IIAS), modernized to operate on the Red Hat OpenShift Container Platform. This architecture shift enables a more modular and scalable deployment model, aligning with modern cloud-native practices. IBM’s P10 PCR is designed to be deployed within customer data centers or any preferred location, providing operational flexibility while maintaining stringent performance and reliability standards through extensive pre-validations performed by IBM.</w:t>
      </w:r>
    </w:p>
    <w:p w14:paraId="76A84B26" w14:textId="77777777" w:rsidR="003E3885" w:rsidRPr="00335B0A" w:rsidRDefault="003E3885" w:rsidP="003E3885">
      <w:pPr>
        <w:pStyle w:val="Heading3"/>
        <w:rPr>
          <w:rFonts w:ascii="Calibri" w:hAnsi="Calibri" w:cs="Calibri"/>
          <w:b/>
          <w:bCs/>
        </w:rPr>
      </w:pPr>
      <w:r w:rsidRPr="00335B0A">
        <w:rPr>
          <w:rFonts w:ascii="Calibri" w:hAnsi="Calibri" w:cs="Calibri"/>
          <w:b/>
          <w:bCs/>
        </w:rPr>
        <w:t>Hardware Architecture and Configuration</w:t>
      </w:r>
    </w:p>
    <w:p w14:paraId="7FDDB556" w14:textId="79FBFEFB" w:rsidR="00335B0A" w:rsidRPr="00335B0A" w:rsidRDefault="00335B0A" w:rsidP="00335B0A">
      <w:pPr>
        <w:spacing w:before="100" w:beforeAutospacing="1" w:after="100" w:afterAutospacing="1" w:line="240" w:lineRule="auto"/>
        <w:rPr>
          <w:rFonts w:ascii="Calibri" w:eastAsia="Times New Roman" w:hAnsi="Calibri" w:cs="Calibri"/>
          <w:kern w:val="0"/>
          <w:lang w:val="en-US"/>
          <w14:ligatures w14:val="none"/>
        </w:rPr>
      </w:pPr>
      <w:r w:rsidRPr="00335B0A">
        <w:rPr>
          <w:rFonts w:ascii="Calibri" w:eastAsia="Times New Roman" w:hAnsi="Calibri" w:cs="Calibri"/>
          <w:kern w:val="0"/>
          <w:lang w:val="en-US"/>
          <w14:ligatures w14:val="none"/>
        </w:rPr>
        <w:t xml:space="preserve">The P10 PCR is built on a robust hardware foundation, leveraging the IBM Power10 processor, which supports high levels of parallelism and workload scalability. The </w:t>
      </w:r>
      <w:r w:rsidR="00C01038">
        <w:rPr>
          <w:rFonts w:ascii="Calibri" w:eastAsia="Times New Roman" w:hAnsi="Calibri" w:cs="Calibri"/>
          <w:kern w:val="0"/>
          <w:lang w:val="en-US"/>
          <w14:ligatures w14:val="none"/>
        </w:rPr>
        <w:t xml:space="preserve">Power10 </w:t>
      </w:r>
      <w:r w:rsidRPr="00335B0A">
        <w:rPr>
          <w:rFonts w:ascii="Calibri" w:eastAsia="Times New Roman" w:hAnsi="Calibri" w:cs="Calibri"/>
          <w:kern w:val="0"/>
          <w:lang w:val="en-US"/>
          <w14:ligatures w14:val="none"/>
        </w:rPr>
        <w:t xml:space="preserve">processor architecture is optimized for complex analytical computations, enabling efficient data processing and throughput. Paired with the </w:t>
      </w:r>
      <w:hyperlink r:id="rId5" w:tgtFrame="_blank" w:history="1">
        <w:r w:rsidRPr="00335B0A">
          <w:rPr>
            <w:rFonts w:ascii="Calibri" w:eastAsia="Times New Roman" w:hAnsi="Calibri" w:cs="Calibri"/>
            <w:color w:val="0000FF"/>
            <w:kern w:val="0"/>
            <w:u w:val="single"/>
            <w:lang w:val="en-US"/>
            <w14:ligatures w14:val="none"/>
          </w:rPr>
          <w:t>IBM Storage FlashSystem 7300</w:t>
        </w:r>
      </w:hyperlink>
      <w:r w:rsidRPr="00335B0A">
        <w:rPr>
          <w:rFonts w:ascii="Calibri" w:eastAsia="Times New Roman" w:hAnsi="Calibri" w:cs="Calibri"/>
          <w:kern w:val="0"/>
          <w:lang w:val="en-US"/>
          <w14:ligatures w14:val="none"/>
        </w:rPr>
        <w:t xml:space="preserve">, the solution provides </w:t>
      </w:r>
      <w:r w:rsidR="00C01038" w:rsidRPr="00C01038">
        <w:rPr>
          <w:rFonts w:ascii="Calibri" w:hAnsi="Calibri" w:cs="Calibri"/>
        </w:rPr>
        <w:t>low-latency, high-performance storage to support demanding analytical workloads.</w:t>
      </w:r>
    </w:p>
    <w:p w14:paraId="7782AF88" w14:textId="77777777" w:rsidR="00335B0A" w:rsidRPr="00335B0A" w:rsidRDefault="00335B0A" w:rsidP="00335B0A">
      <w:pPr>
        <w:spacing w:before="100" w:beforeAutospacing="1" w:after="100" w:afterAutospacing="1" w:line="240" w:lineRule="auto"/>
        <w:rPr>
          <w:rFonts w:ascii="Calibri" w:eastAsia="Times New Roman" w:hAnsi="Calibri" w:cs="Calibri"/>
          <w:kern w:val="0"/>
          <w:lang w:val="en-US"/>
          <w14:ligatures w14:val="none"/>
        </w:rPr>
      </w:pPr>
      <w:r w:rsidRPr="00335B0A">
        <w:rPr>
          <w:rFonts w:ascii="Calibri" w:eastAsia="Times New Roman" w:hAnsi="Calibri" w:cs="Calibri"/>
          <w:kern w:val="0"/>
          <w:lang w:val="en-US"/>
          <w14:ligatures w14:val="none"/>
        </w:rPr>
        <w:t>This hardware configuration supports a containerized environment, facilitating resource isolation and improved workload management. It also enables high availability and disaster recovery.</w:t>
      </w:r>
    </w:p>
    <w:p w14:paraId="5FF2FDAC" w14:textId="77777777" w:rsidR="00335B0A" w:rsidRPr="00335B0A" w:rsidRDefault="00335B0A" w:rsidP="00335B0A">
      <w:pPr>
        <w:pStyle w:val="NormalWeb"/>
        <w:rPr>
          <w:rFonts w:ascii="Calibri" w:hAnsi="Calibri" w:cs="Calibri"/>
        </w:rPr>
      </w:pPr>
      <w:r w:rsidRPr="00335B0A">
        <w:rPr>
          <w:rFonts w:ascii="Calibri" w:hAnsi="Calibri" w:cs="Calibri"/>
        </w:rPr>
        <w:t>The base configuration for a P10 PCR for Db2 Warehouse solution includes the following components:</w:t>
      </w:r>
    </w:p>
    <w:p w14:paraId="07FA8CD9" w14:textId="77777777" w:rsidR="00335B0A" w:rsidRPr="00335B0A" w:rsidRDefault="00335B0A" w:rsidP="00335B0A">
      <w:pPr>
        <w:pStyle w:val="NormalWeb"/>
        <w:spacing w:before="0" w:beforeAutospacing="0" w:after="0" w:afterAutospacing="0"/>
        <w:rPr>
          <w:rFonts w:ascii="Calibri" w:hAnsi="Calibri" w:cs="Calibri"/>
        </w:rPr>
      </w:pPr>
      <w:r w:rsidRPr="00335B0A">
        <w:rPr>
          <w:rFonts w:ascii="Calibri" w:hAnsi="Calibri" w:cs="Calibri"/>
        </w:rPr>
        <w:t>•      3x S1022s Power10 servers (Management nodes)</w:t>
      </w:r>
    </w:p>
    <w:p w14:paraId="31FA20BF" w14:textId="77777777" w:rsidR="00335B0A" w:rsidRPr="00335B0A" w:rsidRDefault="00335B0A" w:rsidP="00335B0A">
      <w:pPr>
        <w:pStyle w:val="NormalWeb"/>
        <w:spacing w:before="0" w:beforeAutospacing="0" w:after="0" w:afterAutospacing="0"/>
        <w:rPr>
          <w:rFonts w:ascii="Calibri" w:hAnsi="Calibri" w:cs="Calibri"/>
        </w:rPr>
      </w:pPr>
      <w:r w:rsidRPr="00335B0A">
        <w:rPr>
          <w:rFonts w:ascii="Calibri" w:hAnsi="Calibri" w:cs="Calibri"/>
        </w:rPr>
        <w:t>•      3x S1022 Power10 servers (2 Active Worker nodes + 1 Stand-by Worker Node for HA)</w:t>
      </w:r>
    </w:p>
    <w:p w14:paraId="63C716E7" w14:textId="2D2F1757" w:rsidR="00335B0A" w:rsidRPr="00335B0A" w:rsidRDefault="00335B0A" w:rsidP="00335B0A">
      <w:pPr>
        <w:pStyle w:val="NormalWeb"/>
        <w:spacing w:before="0" w:beforeAutospacing="0" w:after="0" w:afterAutospacing="0"/>
        <w:rPr>
          <w:rFonts w:ascii="Calibri" w:hAnsi="Calibri" w:cs="Calibri"/>
        </w:rPr>
      </w:pPr>
      <w:r w:rsidRPr="00335B0A">
        <w:rPr>
          <w:rFonts w:ascii="Calibri" w:hAnsi="Calibri" w:cs="Calibri"/>
        </w:rPr>
        <w:t>•      1x Power10 Hardware Management Console (HMC)</w:t>
      </w:r>
    </w:p>
    <w:p w14:paraId="67C67BC0" w14:textId="77777777" w:rsidR="00335B0A" w:rsidRPr="00335B0A" w:rsidRDefault="00335B0A" w:rsidP="00335B0A">
      <w:pPr>
        <w:pStyle w:val="NormalWeb"/>
        <w:spacing w:before="0" w:beforeAutospacing="0" w:after="0" w:afterAutospacing="0"/>
        <w:rPr>
          <w:rFonts w:ascii="Calibri" w:hAnsi="Calibri" w:cs="Calibri"/>
        </w:rPr>
      </w:pPr>
      <w:r w:rsidRPr="00335B0A">
        <w:rPr>
          <w:rFonts w:ascii="Calibri" w:hAnsi="Calibri" w:cs="Calibri"/>
        </w:rPr>
        <w:t>•      1x IBM 7316 Flat-panel console</w:t>
      </w:r>
    </w:p>
    <w:p w14:paraId="44865ACD" w14:textId="77777777" w:rsidR="00335B0A" w:rsidRPr="00335B0A" w:rsidRDefault="00335B0A" w:rsidP="00335B0A">
      <w:pPr>
        <w:pStyle w:val="NormalWeb"/>
        <w:spacing w:before="0" w:beforeAutospacing="0" w:after="0" w:afterAutospacing="0"/>
        <w:rPr>
          <w:rFonts w:ascii="Calibri" w:hAnsi="Calibri" w:cs="Calibri"/>
        </w:rPr>
      </w:pPr>
      <w:r w:rsidRPr="00335B0A">
        <w:rPr>
          <w:rFonts w:ascii="Calibri" w:hAnsi="Calibri" w:cs="Calibri"/>
        </w:rPr>
        <w:t>•      1x IBM FlashSystem 7300 storage modules (with 16x9.6TB NVMe Flash Core Modules)</w:t>
      </w:r>
    </w:p>
    <w:p w14:paraId="71565372" w14:textId="77777777" w:rsidR="00335B0A" w:rsidRPr="00335B0A" w:rsidRDefault="00335B0A" w:rsidP="00335B0A">
      <w:pPr>
        <w:pStyle w:val="NormalWeb"/>
        <w:spacing w:before="0" w:beforeAutospacing="0" w:after="0" w:afterAutospacing="0"/>
        <w:rPr>
          <w:rFonts w:ascii="Calibri" w:hAnsi="Calibri" w:cs="Calibri"/>
        </w:rPr>
      </w:pPr>
      <w:r w:rsidRPr="00335B0A">
        <w:rPr>
          <w:rFonts w:ascii="Calibri" w:hAnsi="Calibri" w:cs="Calibri"/>
        </w:rPr>
        <w:t>•      2x IBM 48x 1GbE + 2x 100Gb Ethernet switches</w:t>
      </w:r>
    </w:p>
    <w:p w14:paraId="17CC289D" w14:textId="77777777" w:rsidR="00335B0A" w:rsidRPr="00335B0A" w:rsidRDefault="00335B0A" w:rsidP="00335B0A">
      <w:pPr>
        <w:pStyle w:val="NormalWeb"/>
        <w:spacing w:before="0" w:beforeAutospacing="0" w:after="0" w:afterAutospacing="0"/>
        <w:rPr>
          <w:rFonts w:ascii="Calibri" w:hAnsi="Calibri" w:cs="Calibri"/>
        </w:rPr>
      </w:pPr>
      <w:r w:rsidRPr="00335B0A">
        <w:rPr>
          <w:rFonts w:ascii="Calibri" w:hAnsi="Calibri" w:cs="Calibri"/>
        </w:rPr>
        <w:t>•      2x IBM SAN48B-7 SAN switches</w:t>
      </w:r>
    </w:p>
    <w:p w14:paraId="1A1BC649" w14:textId="77777777" w:rsidR="006D70D8" w:rsidRPr="00335B0A" w:rsidRDefault="006D70D8" w:rsidP="006D70D8">
      <w:pPr>
        <w:rPr>
          <w:rFonts w:ascii="Calibri" w:hAnsi="Calibri" w:cs="Calibri"/>
        </w:rPr>
      </w:pPr>
    </w:p>
    <w:p w14:paraId="25ADC054" w14:textId="03B7CDF0" w:rsidR="006D70D8" w:rsidRPr="00335B0A" w:rsidRDefault="00BC3889" w:rsidP="006D70D8">
      <w:pPr>
        <w:pStyle w:val="Heading3"/>
        <w:rPr>
          <w:rFonts w:ascii="Calibri" w:hAnsi="Calibri" w:cs="Calibri"/>
        </w:rPr>
      </w:pPr>
      <w:r>
        <w:rPr>
          <w:rFonts w:ascii="Calibri" w:hAnsi="Calibri" w:cs="Calibri"/>
          <w:noProof/>
        </w:rPr>
        <w:lastRenderedPageBreak/>
        <w:drawing>
          <wp:inline distT="0" distB="0" distL="0" distR="0" wp14:anchorId="3D642876" wp14:editId="0B5D1532">
            <wp:extent cx="5943600" cy="3328035"/>
            <wp:effectExtent l="0" t="0" r="0" b="0"/>
            <wp:docPr id="741509003" name="Picture 15" descr="A diagram of a cloud r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09003" name="Picture 15" descr="A diagram of a cloud rac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15B80B91" w14:textId="034DE200" w:rsidR="006D70D8" w:rsidRPr="00335B0A" w:rsidRDefault="006D70D8" w:rsidP="006D70D8">
      <w:pPr>
        <w:pStyle w:val="Caption"/>
        <w:jc w:val="center"/>
        <w:rPr>
          <w:rFonts w:ascii="Calibri" w:hAnsi="Calibri" w:cs="Calibri"/>
          <w:b/>
          <w:bCs/>
        </w:rPr>
      </w:pPr>
      <w:r w:rsidRPr="00335B0A">
        <w:rPr>
          <w:rFonts w:ascii="Calibri" w:hAnsi="Calibri" w:cs="Calibri"/>
          <w:b/>
          <w:bCs/>
        </w:rPr>
        <w:t xml:space="preserve">Figure </w:t>
      </w:r>
      <w:r w:rsidRPr="00335B0A">
        <w:rPr>
          <w:rFonts w:ascii="Calibri" w:hAnsi="Calibri" w:cs="Calibri"/>
          <w:b/>
          <w:bCs/>
        </w:rPr>
        <w:t>1</w:t>
      </w:r>
      <w:r w:rsidRPr="00335B0A">
        <w:rPr>
          <w:rFonts w:ascii="Calibri" w:hAnsi="Calibri" w:cs="Calibri"/>
          <w:b/>
          <w:bCs/>
        </w:rPr>
        <w:t>:</w:t>
      </w:r>
      <w:r w:rsidRPr="00335B0A">
        <w:rPr>
          <w:rFonts w:ascii="Calibri" w:hAnsi="Calibri" w:cs="Calibri"/>
        </w:rPr>
        <w:t xml:space="preserve"> P10 PCR </w:t>
      </w:r>
      <w:r w:rsidR="00335B0A">
        <w:rPr>
          <w:rFonts w:ascii="Calibri" w:hAnsi="Calibri" w:cs="Calibri"/>
        </w:rPr>
        <w:t>Base</w:t>
      </w:r>
      <w:r w:rsidRPr="00335B0A">
        <w:rPr>
          <w:rFonts w:ascii="Calibri" w:hAnsi="Calibri" w:cs="Calibri"/>
        </w:rPr>
        <w:t xml:space="preserve"> Configuration</w:t>
      </w:r>
    </w:p>
    <w:p w14:paraId="27521539" w14:textId="77777777" w:rsidR="00335B0A" w:rsidRPr="00335B0A" w:rsidRDefault="00335B0A" w:rsidP="00335B0A">
      <w:pPr>
        <w:pStyle w:val="NormalWeb"/>
        <w:rPr>
          <w:rFonts w:ascii="Calibri" w:hAnsi="Calibri" w:cs="Calibri"/>
        </w:rPr>
      </w:pPr>
      <w:r w:rsidRPr="00335B0A">
        <w:rPr>
          <w:rFonts w:ascii="Calibri" w:hAnsi="Calibri" w:cs="Calibri"/>
        </w:rPr>
        <w:t>Compared to the previous generation IIAS/Sailfish architecture, the P10 PCR features enhanced memory, CPU, and network capacities, as illustrated in the image and table below.</w:t>
      </w:r>
    </w:p>
    <w:p w14:paraId="2F2B0C87" w14:textId="679A3791" w:rsidR="006D70D8" w:rsidRPr="00335B0A" w:rsidRDefault="00B25680" w:rsidP="006D70D8">
      <w:pPr>
        <w:pStyle w:val="NormalWeb"/>
        <w:keepNext/>
        <w:rPr>
          <w:rFonts w:ascii="Calibri" w:hAnsi="Calibri" w:cs="Calibri"/>
        </w:rPr>
      </w:pPr>
      <w:r w:rsidRPr="00335B0A">
        <w:rPr>
          <w:rFonts w:ascii="Calibri" w:hAnsi="Calibri" w:cs="Calibri"/>
          <w:noProof/>
          <w14:ligatures w14:val="standardContextual"/>
        </w:rPr>
        <w:drawing>
          <wp:inline distT="0" distB="0" distL="0" distR="0" wp14:anchorId="2252AFA9" wp14:editId="0497F5F8">
            <wp:extent cx="5943600" cy="2924175"/>
            <wp:effectExtent l="0" t="0" r="0" b="0"/>
            <wp:docPr id="1820869594" name="Picture 12"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69594" name="Picture 12" descr="A diagram of a computer serv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14:paraId="15F68934" w14:textId="7A3C140C" w:rsidR="003E3885" w:rsidRPr="00335B0A" w:rsidRDefault="006D70D8" w:rsidP="006D70D8">
      <w:pPr>
        <w:pStyle w:val="Caption"/>
        <w:jc w:val="center"/>
        <w:rPr>
          <w:rFonts w:ascii="Calibri" w:hAnsi="Calibri" w:cs="Calibri"/>
          <w:sz w:val="24"/>
          <w:szCs w:val="24"/>
        </w:rPr>
      </w:pPr>
      <w:r w:rsidRPr="00335B0A">
        <w:rPr>
          <w:rFonts w:ascii="Calibri" w:hAnsi="Calibri" w:cs="Calibri"/>
          <w:b/>
          <w:bCs/>
        </w:rPr>
        <w:t>Figure 2:</w:t>
      </w:r>
      <w:r w:rsidRPr="00335B0A">
        <w:rPr>
          <w:rFonts w:ascii="Calibri" w:hAnsi="Calibri" w:cs="Calibri"/>
        </w:rPr>
        <w:t xml:space="preserve"> Basic Hardware Comparison of IIAS/Sailfish and P10 PCR</w:t>
      </w:r>
    </w:p>
    <w:p w14:paraId="1202552A" w14:textId="77777777" w:rsidR="00335B0A" w:rsidRDefault="00335B0A" w:rsidP="00335B0A">
      <w:pPr>
        <w:pStyle w:val="NormalWeb"/>
        <w:rPr>
          <w:rFonts w:ascii="Calibri" w:hAnsi="Calibri" w:cs="Calibri"/>
        </w:rPr>
      </w:pPr>
      <w:r w:rsidRPr="00335B0A">
        <w:rPr>
          <w:rFonts w:ascii="Calibri" w:hAnsi="Calibri" w:cs="Calibri"/>
        </w:rPr>
        <w:lastRenderedPageBreak/>
        <w:t xml:space="preserve">The following table provides a comprehensive overview of the System and Hardware configuration for the IIAS/Sailfish Full Rack and IBM’s P10 PCR Full Rack, also referred to as the Base Rack Large (BRL). The OCP and Db2 versions are </w:t>
      </w:r>
      <w:proofErr w:type="gramStart"/>
      <w:r w:rsidRPr="00335B0A">
        <w:rPr>
          <w:rFonts w:ascii="Calibri" w:hAnsi="Calibri" w:cs="Calibri"/>
        </w:rPr>
        <w:t>up-to-date</w:t>
      </w:r>
      <w:proofErr w:type="gramEnd"/>
      <w:r w:rsidRPr="00335B0A">
        <w:rPr>
          <w:rFonts w:ascii="Calibri" w:hAnsi="Calibri" w:cs="Calibri"/>
        </w:rPr>
        <w:t xml:space="preserve"> as of March 2025.</w:t>
      </w:r>
    </w:p>
    <w:p w14:paraId="7A7A4E26" w14:textId="247642E2" w:rsidR="006D70D8" w:rsidRPr="00335B0A" w:rsidRDefault="00B25680" w:rsidP="00335B0A">
      <w:pPr>
        <w:pStyle w:val="NormalWeb"/>
        <w:rPr>
          <w:rFonts w:ascii="Calibri" w:hAnsi="Calibri" w:cs="Calibri"/>
        </w:rPr>
      </w:pPr>
      <w:r w:rsidRPr="00335B0A">
        <w:rPr>
          <w:rFonts w:ascii="Calibri" w:hAnsi="Calibri" w:cs="Calibri"/>
          <w:noProof/>
        </w:rPr>
        <w:drawing>
          <wp:inline distT="0" distB="0" distL="0" distR="0" wp14:anchorId="749FC0EE" wp14:editId="439D4CCC">
            <wp:extent cx="5943600" cy="4773295"/>
            <wp:effectExtent l="0" t="0" r="0" b="1905"/>
            <wp:docPr id="2063929383" name="Picture 13" descr="A table with data and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29383" name="Picture 13" descr="A table with data and information&#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773295"/>
                    </a:xfrm>
                    <a:prstGeom prst="rect">
                      <a:avLst/>
                    </a:prstGeom>
                  </pic:spPr>
                </pic:pic>
              </a:graphicData>
            </a:graphic>
          </wp:inline>
        </w:drawing>
      </w:r>
    </w:p>
    <w:p w14:paraId="41150682" w14:textId="1CDF4207" w:rsidR="006D70D8" w:rsidRPr="00335B0A" w:rsidRDefault="006D70D8" w:rsidP="006D70D8">
      <w:pPr>
        <w:pStyle w:val="Caption"/>
        <w:jc w:val="center"/>
        <w:rPr>
          <w:rFonts w:ascii="Calibri" w:hAnsi="Calibri" w:cs="Calibri"/>
        </w:rPr>
      </w:pPr>
      <w:r w:rsidRPr="00335B0A">
        <w:rPr>
          <w:rFonts w:ascii="Calibri" w:hAnsi="Calibri" w:cs="Calibri"/>
          <w:b/>
          <w:bCs/>
        </w:rPr>
        <w:t>Table 1:</w:t>
      </w:r>
      <w:r w:rsidRPr="00335B0A">
        <w:rPr>
          <w:rFonts w:ascii="Calibri" w:hAnsi="Calibri" w:cs="Calibri"/>
        </w:rPr>
        <w:t xml:space="preserve"> System &amp; Hardware Configuration of an IIAS/Sailfish Full Rack and IBM's P10 PCR BRL</w:t>
      </w:r>
    </w:p>
    <w:p w14:paraId="1F8307CA" w14:textId="77777777" w:rsidR="00335B0A" w:rsidRDefault="00335B0A" w:rsidP="006D70D8">
      <w:pPr>
        <w:pStyle w:val="Heading3"/>
        <w:spacing w:before="0" w:after="0"/>
        <w:rPr>
          <w:rFonts w:ascii="Calibri" w:hAnsi="Calibri" w:cs="Calibri"/>
          <w:b/>
          <w:bCs/>
        </w:rPr>
      </w:pPr>
    </w:p>
    <w:p w14:paraId="36B71EEE" w14:textId="3A24594F" w:rsidR="003E3885" w:rsidRPr="00335B0A" w:rsidRDefault="003E3885" w:rsidP="006D70D8">
      <w:pPr>
        <w:pStyle w:val="Heading3"/>
        <w:spacing w:before="0" w:after="0"/>
        <w:rPr>
          <w:rFonts w:ascii="Calibri" w:hAnsi="Calibri" w:cs="Calibri"/>
        </w:rPr>
      </w:pPr>
      <w:r w:rsidRPr="00335B0A">
        <w:rPr>
          <w:rFonts w:ascii="Calibri" w:hAnsi="Calibri" w:cs="Calibri"/>
          <w:b/>
          <w:bCs/>
        </w:rPr>
        <w:t>Deployment and System Integration</w:t>
      </w:r>
    </w:p>
    <w:p w14:paraId="6C0716C2" w14:textId="494312A5" w:rsidR="00335B0A" w:rsidRPr="00335B0A" w:rsidRDefault="00335B0A" w:rsidP="00335B0A">
      <w:pPr>
        <w:pStyle w:val="NormalWeb"/>
        <w:rPr>
          <w:rFonts w:ascii="Calibri" w:hAnsi="Calibri" w:cs="Calibri"/>
        </w:rPr>
      </w:pPr>
      <w:r w:rsidRPr="00335B0A">
        <w:rPr>
          <w:rFonts w:ascii="Calibri" w:hAnsi="Calibri" w:cs="Calibri"/>
        </w:rPr>
        <w:t>IBM’s Power10 Private Cloud Rack is designed for efficient deployment with a configuration tailored to customer requirements. Before purchase, IBM conducts a modernization workshop to assess system needs and determine the appropriate configuration, ensuring that the deployed solution is appropriately sized without unnecessary complexity.</w:t>
      </w:r>
    </w:p>
    <w:p w14:paraId="6700F075" w14:textId="77777777" w:rsidR="00335B0A" w:rsidRPr="00335B0A" w:rsidRDefault="00335B0A" w:rsidP="00335B0A">
      <w:pPr>
        <w:pStyle w:val="NormalWeb"/>
        <w:rPr>
          <w:rFonts w:ascii="Calibri" w:hAnsi="Calibri" w:cs="Calibri"/>
        </w:rPr>
      </w:pPr>
      <w:r w:rsidRPr="00335B0A">
        <w:rPr>
          <w:rFonts w:ascii="Calibri" w:hAnsi="Calibri" w:cs="Calibri"/>
        </w:rPr>
        <w:t xml:space="preserve">The P10 PCR offers significantly improved performance over the previous generation. The deployment process also includes data migration from the IBM Integrated Analytics System (IIAS), minimizing downtime and accelerating the transition to the new platform. The data </w:t>
      </w:r>
      <w:r w:rsidRPr="00335B0A">
        <w:rPr>
          <w:rFonts w:ascii="Calibri" w:hAnsi="Calibri" w:cs="Calibri"/>
        </w:rPr>
        <w:lastRenderedPageBreak/>
        <w:t xml:space="preserve">migration can be performed leveraging IBM’s </w:t>
      </w:r>
      <w:hyperlink r:id="rId9" w:tgtFrame="_blank" w:history="1">
        <w:r w:rsidRPr="00335B0A">
          <w:rPr>
            <w:rStyle w:val="Hyperlink"/>
            <w:rFonts w:ascii="Calibri" w:eastAsiaTheme="majorEastAsia" w:hAnsi="Calibri" w:cs="Calibri"/>
          </w:rPr>
          <w:t>Db2 Bridge</w:t>
        </w:r>
      </w:hyperlink>
      <w:r w:rsidRPr="00335B0A">
        <w:rPr>
          <w:rFonts w:ascii="Calibri" w:hAnsi="Calibri" w:cs="Calibri"/>
        </w:rPr>
        <w:t xml:space="preserve"> tool, which enables seamless data transfer between Db2 databases. IBM manages the entire deployment process, from initial assessment to production. For further details, refer to the official </w:t>
      </w:r>
      <w:hyperlink r:id="rId10" w:tgtFrame="_blank" w:history="1">
        <w:r w:rsidRPr="00335B0A">
          <w:rPr>
            <w:rStyle w:val="Hyperlink"/>
            <w:rFonts w:ascii="Calibri" w:eastAsiaTheme="majorEastAsia" w:hAnsi="Calibri" w:cs="Calibri"/>
          </w:rPr>
          <w:t>deployment guide</w:t>
        </w:r>
      </w:hyperlink>
      <w:r w:rsidRPr="00335B0A">
        <w:rPr>
          <w:rFonts w:ascii="Calibri" w:hAnsi="Calibri" w:cs="Calibri"/>
        </w:rPr>
        <w:t>.</w:t>
      </w:r>
    </w:p>
    <w:p w14:paraId="7A671045" w14:textId="77777777" w:rsidR="003E3885" w:rsidRPr="00335B0A" w:rsidRDefault="003E3885" w:rsidP="003E3885">
      <w:pPr>
        <w:pStyle w:val="Heading3"/>
        <w:rPr>
          <w:rFonts w:ascii="Calibri" w:hAnsi="Calibri" w:cs="Calibri"/>
          <w:b/>
          <w:bCs/>
        </w:rPr>
      </w:pPr>
      <w:r w:rsidRPr="00335B0A">
        <w:rPr>
          <w:rFonts w:ascii="Calibri" w:hAnsi="Calibri" w:cs="Calibri"/>
          <w:b/>
          <w:bCs/>
        </w:rPr>
        <w:t>Scalability and System Expansion</w:t>
      </w:r>
    </w:p>
    <w:p w14:paraId="6AD16B06" w14:textId="77777777" w:rsidR="00335B0A" w:rsidRPr="00335B0A" w:rsidRDefault="00335B0A" w:rsidP="00335B0A">
      <w:pPr>
        <w:pStyle w:val="NormalWeb"/>
        <w:rPr>
          <w:rFonts w:ascii="Calibri" w:hAnsi="Calibri" w:cs="Calibri"/>
        </w:rPr>
      </w:pPr>
      <w:r w:rsidRPr="00335B0A">
        <w:rPr>
          <w:rFonts w:ascii="Calibri" w:hAnsi="Calibri" w:cs="Calibri"/>
        </w:rPr>
        <w:t>IBM’s P10 PCR is designed with inherent scalability to accommodate evolving workload requirements. The system supports dynamic resource scaling within a single rack or across multiple racks. This is facilitated through a modular architecture that maintains compute-to-storage affinity, preserving performance consistency as the infrastructure expands.</w:t>
      </w:r>
    </w:p>
    <w:p w14:paraId="7F03B6FE" w14:textId="77777777" w:rsidR="00335B0A" w:rsidRPr="00335B0A" w:rsidRDefault="00335B0A" w:rsidP="00335B0A">
      <w:pPr>
        <w:pStyle w:val="NormalWeb"/>
        <w:rPr>
          <w:rFonts w:ascii="Calibri" w:hAnsi="Calibri" w:cs="Calibri"/>
        </w:rPr>
      </w:pPr>
      <w:r w:rsidRPr="00335B0A">
        <w:rPr>
          <w:rFonts w:ascii="Calibri" w:hAnsi="Calibri" w:cs="Calibri"/>
        </w:rPr>
        <w:t>The system supports a flexible configuration, starting with a smaller configuration, such as 1/3 of a rack (Base Rack Small BRS), and gradually scale up to 2/3 of a rack (BRM), a full rack (BRL), or even multiple racks as needed. The architecture supports horizontal scaling across racks with near linear performance scalability, allowing for seamless infrastructure expansion to accommodate evolving workload demands and business needs.</w:t>
      </w:r>
    </w:p>
    <w:p w14:paraId="196EA7F5" w14:textId="0BF3A7A8" w:rsidR="006D70D8" w:rsidRPr="00335B0A" w:rsidRDefault="00335B0A" w:rsidP="006D70D8">
      <w:pPr>
        <w:keepNext/>
        <w:rPr>
          <w:rFonts w:ascii="Calibri" w:hAnsi="Calibri" w:cs="Calibri"/>
          <w:color w:val="000000" w:themeColor="text1"/>
        </w:rPr>
      </w:pPr>
      <w:r w:rsidRPr="00335B0A">
        <w:rPr>
          <w:rFonts w:ascii="Calibri" w:hAnsi="Calibri" w:cs="Calibri"/>
          <w:noProof/>
          <w:color w:val="000000" w:themeColor="text1"/>
        </w:rPr>
        <w:drawing>
          <wp:inline distT="0" distB="0" distL="0" distR="0" wp14:anchorId="1D739DF1" wp14:editId="029F1E74">
            <wp:extent cx="5943600" cy="3286125"/>
            <wp:effectExtent l="0" t="0" r="0" b="3175"/>
            <wp:docPr id="1093382636" name="Picture 14" descr="A table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82636" name="Picture 14" descr="A table with numbers and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3C9823EB" w14:textId="36372075" w:rsidR="003E3885" w:rsidRPr="00335B0A" w:rsidRDefault="006D70D8" w:rsidP="006D70D8">
      <w:pPr>
        <w:pStyle w:val="Caption"/>
        <w:jc w:val="center"/>
        <w:rPr>
          <w:rFonts w:ascii="Calibri" w:hAnsi="Calibri" w:cs="Calibri"/>
          <w:b/>
          <w:bCs/>
          <w:color w:val="000000" w:themeColor="text1"/>
          <w:sz w:val="24"/>
          <w:szCs w:val="24"/>
        </w:rPr>
      </w:pPr>
      <w:r w:rsidRPr="00335B0A">
        <w:rPr>
          <w:rFonts w:ascii="Calibri" w:hAnsi="Calibri" w:cs="Calibri"/>
          <w:b/>
          <w:bCs/>
          <w:color w:val="000000" w:themeColor="text1"/>
        </w:rPr>
        <w:t>Figure 3:</w:t>
      </w:r>
      <w:r w:rsidRPr="00335B0A">
        <w:rPr>
          <w:rFonts w:ascii="Calibri" w:hAnsi="Calibri" w:cs="Calibri"/>
          <w:color w:val="000000" w:themeColor="text1"/>
        </w:rPr>
        <w:t xml:space="preserve"> P10 PCR Solution Models</w:t>
      </w:r>
    </w:p>
    <w:p w14:paraId="3AD28031" w14:textId="77777777" w:rsidR="003E3885" w:rsidRPr="00335B0A" w:rsidRDefault="003E3885">
      <w:pPr>
        <w:rPr>
          <w:rFonts w:ascii="Calibri" w:eastAsiaTheme="majorEastAsia" w:hAnsi="Calibri" w:cs="Calibri"/>
          <w:b/>
          <w:bCs/>
          <w:color w:val="0F4761" w:themeColor="accent1" w:themeShade="BF"/>
          <w:sz w:val="28"/>
          <w:szCs w:val="28"/>
        </w:rPr>
      </w:pPr>
      <w:r w:rsidRPr="00335B0A">
        <w:rPr>
          <w:rFonts w:ascii="Calibri" w:hAnsi="Calibri" w:cs="Calibri"/>
          <w:b/>
          <w:bCs/>
        </w:rPr>
        <w:br w:type="page"/>
      </w:r>
    </w:p>
    <w:p w14:paraId="03140AD0" w14:textId="1E659A05" w:rsidR="003E3885" w:rsidRPr="00335B0A" w:rsidRDefault="003E3885" w:rsidP="003E3885">
      <w:pPr>
        <w:pStyle w:val="Heading3"/>
        <w:rPr>
          <w:rFonts w:ascii="Calibri" w:hAnsi="Calibri" w:cs="Calibri"/>
          <w:b/>
          <w:bCs/>
        </w:rPr>
      </w:pPr>
      <w:r w:rsidRPr="00335B0A">
        <w:rPr>
          <w:rFonts w:ascii="Calibri" w:hAnsi="Calibri" w:cs="Calibri"/>
          <w:b/>
          <w:bCs/>
        </w:rPr>
        <w:lastRenderedPageBreak/>
        <w:t>Security Architecture and Data Protection</w:t>
      </w:r>
    </w:p>
    <w:p w14:paraId="7B70AC29" w14:textId="77777777" w:rsidR="00335B0A" w:rsidRPr="00335B0A" w:rsidRDefault="00335B0A" w:rsidP="00335B0A">
      <w:pPr>
        <w:pStyle w:val="NormalWeb"/>
        <w:rPr>
          <w:rFonts w:ascii="Calibri" w:hAnsi="Calibri" w:cs="Calibri"/>
        </w:rPr>
      </w:pPr>
      <w:r w:rsidRPr="00335B0A">
        <w:rPr>
          <w:rFonts w:ascii="Calibri" w:hAnsi="Calibri" w:cs="Calibri"/>
        </w:rPr>
        <w:t>IBM’s P10 PCR is architected with a comprehensive security model built on Red Hat OpenShift’s security framework. It includes:</w:t>
      </w:r>
    </w:p>
    <w:p w14:paraId="2C899291" w14:textId="77777777" w:rsidR="00335B0A" w:rsidRPr="00335B0A" w:rsidRDefault="00335B0A" w:rsidP="00335B0A">
      <w:pPr>
        <w:pStyle w:val="NormalWeb"/>
        <w:numPr>
          <w:ilvl w:val="0"/>
          <w:numId w:val="17"/>
        </w:numPr>
        <w:rPr>
          <w:rFonts w:ascii="Calibri" w:hAnsi="Calibri" w:cs="Calibri"/>
        </w:rPr>
      </w:pPr>
      <w:r w:rsidRPr="00335B0A">
        <w:rPr>
          <w:rStyle w:val="Strong"/>
          <w:rFonts w:ascii="Calibri" w:eastAsiaTheme="majorEastAsia" w:hAnsi="Calibri" w:cs="Calibri"/>
        </w:rPr>
        <w:t>Network Security</w:t>
      </w:r>
      <w:r w:rsidRPr="00335B0A">
        <w:rPr>
          <w:rFonts w:ascii="Calibri" w:hAnsi="Calibri" w:cs="Calibri"/>
        </w:rPr>
        <w:t>: Employs network policies to implement micro-segmentation, effectively isolating traffic between pods and services.</w:t>
      </w:r>
    </w:p>
    <w:p w14:paraId="34C87DD9" w14:textId="77777777" w:rsidR="00335B0A" w:rsidRPr="00335B0A" w:rsidRDefault="00335B0A" w:rsidP="00335B0A">
      <w:pPr>
        <w:pStyle w:val="NormalWeb"/>
        <w:numPr>
          <w:ilvl w:val="0"/>
          <w:numId w:val="17"/>
        </w:numPr>
        <w:rPr>
          <w:rFonts w:ascii="Calibri" w:hAnsi="Calibri" w:cs="Calibri"/>
        </w:rPr>
      </w:pPr>
      <w:r w:rsidRPr="00335B0A">
        <w:rPr>
          <w:rStyle w:val="Strong"/>
          <w:rFonts w:ascii="Calibri" w:eastAsiaTheme="majorEastAsia" w:hAnsi="Calibri" w:cs="Calibri"/>
        </w:rPr>
        <w:t>Data Encryption</w:t>
      </w:r>
      <w:r w:rsidRPr="00335B0A">
        <w:rPr>
          <w:rFonts w:ascii="Calibri" w:hAnsi="Calibri" w:cs="Calibri"/>
        </w:rPr>
        <w:t>: End-to-end encryption for data at rest and client-server communication</w:t>
      </w:r>
    </w:p>
    <w:p w14:paraId="0A90B804" w14:textId="77777777" w:rsidR="00335B0A" w:rsidRPr="00335B0A" w:rsidRDefault="00335B0A" w:rsidP="00335B0A">
      <w:pPr>
        <w:pStyle w:val="NormalWeb"/>
        <w:numPr>
          <w:ilvl w:val="0"/>
          <w:numId w:val="17"/>
        </w:numPr>
        <w:rPr>
          <w:rFonts w:ascii="Calibri" w:hAnsi="Calibri" w:cs="Calibri"/>
        </w:rPr>
      </w:pPr>
      <w:r w:rsidRPr="00335B0A">
        <w:rPr>
          <w:rStyle w:val="Strong"/>
          <w:rFonts w:ascii="Calibri" w:eastAsiaTheme="majorEastAsia" w:hAnsi="Calibri" w:cs="Calibri"/>
        </w:rPr>
        <w:t>Access Control</w:t>
      </w:r>
      <w:r w:rsidRPr="00335B0A">
        <w:rPr>
          <w:rFonts w:ascii="Calibri" w:hAnsi="Calibri" w:cs="Calibri"/>
        </w:rPr>
        <w:t>: Role-based access control (RBAC) integrated with enterprise identity providers for unified authentication and authorization.</w:t>
      </w:r>
    </w:p>
    <w:p w14:paraId="6CF01E2F" w14:textId="77777777" w:rsidR="00335B0A" w:rsidRPr="00335B0A" w:rsidRDefault="00335B0A" w:rsidP="00335B0A">
      <w:pPr>
        <w:pStyle w:val="NormalWeb"/>
        <w:rPr>
          <w:rFonts w:ascii="Calibri" w:hAnsi="Calibri" w:cs="Calibri"/>
        </w:rPr>
      </w:pPr>
      <w:r w:rsidRPr="00335B0A">
        <w:rPr>
          <w:rFonts w:ascii="Calibri" w:hAnsi="Calibri" w:cs="Calibri"/>
        </w:rPr>
        <w:t>Data availability and integrity are maintained through a multi-layered protection strategy, including:</w:t>
      </w:r>
    </w:p>
    <w:p w14:paraId="52C2DBC5" w14:textId="77777777" w:rsidR="00335B0A" w:rsidRPr="00335B0A" w:rsidRDefault="00335B0A" w:rsidP="00335B0A">
      <w:pPr>
        <w:pStyle w:val="NormalWeb"/>
        <w:numPr>
          <w:ilvl w:val="0"/>
          <w:numId w:val="18"/>
        </w:numPr>
        <w:rPr>
          <w:rFonts w:ascii="Calibri" w:hAnsi="Calibri" w:cs="Calibri"/>
        </w:rPr>
      </w:pPr>
      <w:r w:rsidRPr="00335B0A">
        <w:rPr>
          <w:rStyle w:val="Strong"/>
          <w:rFonts w:ascii="Calibri" w:eastAsiaTheme="majorEastAsia" w:hAnsi="Calibri" w:cs="Calibri"/>
        </w:rPr>
        <w:t>RAID Configurations</w:t>
      </w:r>
      <w:r w:rsidRPr="00335B0A">
        <w:rPr>
          <w:rFonts w:ascii="Calibri" w:hAnsi="Calibri" w:cs="Calibri"/>
        </w:rPr>
        <w:t>: Ensuring redundancy at the disk level.</w:t>
      </w:r>
    </w:p>
    <w:p w14:paraId="18760796" w14:textId="77777777" w:rsidR="00335B0A" w:rsidRPr="00335B0A" w:rsidRDefault="00335B0A" w:rsidP="00335B0A">
      <w:pPr>
        <w:pStyle w:val="NormalWeb"/>
        <w:numPr>
          <w:ilvl w:val="0"/>
          <w:numId w:val="18"/>
        </w:numPr>
        <w:rPr>
          <w:rFonts w:ascii="Calibri" w:hAnsi="Calibri" w:cs="Calibri"/>
        </w:rPr>
      </w:pPr>
      <w:r w:rsidRPr="00335B0A">
        <w:rPr>
          <w:rStyle w:val="Strong"/>
          <w:rFonts w:ascii="Calibri" w:eastAsiaTheme="majorEastAsia" w:hAnsi="Calibri" w:cs="Calibri"/>
        </w:rPr>
        <w:t>Snapshot Management</w:t>
      </w:r>
      <w:r w:rsidRPr="00335B0A">
        <w:rPr>
          <w:rFonts w:ascii="Calibri" w:hAnsi="Calibri" w:cs="Calibri"/>
        </w:rPr>
        <w:t>: Snapshot backup and restore capability allowing nearly instantaneous backups and restores.</w:t>
      </w:r>
    </w:p>
    <w:p w14:paraId="030DB201" w14:textId="77777777" w:rsidR="00335B0A" w:rsidRPr="00335B0A" w:rsidRDefault="00335B0A" w:rsidP="00335B0A">
      <w:pPr>
        <w:pStyle w:val="NormalWeb"/>
        <w:numPr>
          <w:ilvl w:val="0"/>
          <w:numId w:val="18"/>
        </w:numPr>
        <w:rPr>
          <w:rFonts w:ascii="Calibri" w:hAnsi="Calibri" w:cs="Calibri"/>
        </w:rPr>
      </w:pPr>
      <w:r w:rsidRPr="00335B0A">
        <w:rPr>
          <w:rStyle w:val="Strong"/>
          <w:rFonts w:ascii="Calibri" w:eastAsiaTheme="majorEastAsia" w:hAnsi="Calibri" w:cs="Calibri"/>
        </w:rPr>
        <w:t>High Availability</w:t>
      </w:r>
      <w:r w:rsidRPr="00335B0A">
        <w:rPr>
          <w:rFonts w:ascii="Calibri" w:hAnsi="Calibri" w:cs="Calibri"/>
        </w:rPr>
        <w:t>: Built in high availability allows automatic failover for Db2 upon a failure.</w:t>
      </w:r>
    </w:p>
    <w:p w14:paraId="3F727FCB" w14:textId="77777777" w:rsidR="00335B0A" w:rsidRPr="00335B0A" w:rsidRDefault="00335B0A" w:rsidP="00335B0A">
      <w:pPr>
        <w:pStyle w:val="NormalWeb"/>
        <w:numPr>
          <w:ilvl w:val="0"/>
          <w:numId w:val="18"/>
        </w:numPr>
        <w:rPr>
          <w:rFonts w:ascii="Calibri" w:hAnsi="Calibri" w:cs="Calibri"/>
        </w:rPr>
      </w:pPr>
      <w:r w:rsidRPr="00335B0A">
        <w:rPr>
          <w:rStyle w:val="Strong"/>
          <w:rFonts w:ascii="Calibri" w:eastAsiaTheme="majorEastAsia" w:hAnsi="Calibri" w:cs="Calibri"/>
        </w:rPr>
        <w:t>Disaster Recovery</w:t>
      </w:r>
      <w:r w:rsidRPr="00335B0A">
        <w:rPr>
          <w:rFonts w:ascii="Calibri" w:hAnsi="Calibri" w:cs="Calibri"/>
        </w:rPr>
        <w:t>: Using IBM’s Active-Active Q Replication technology</w:t>
      </w:r>
    </w:p>
    <w:p w14:paraId="269D67C4" w14:textId="77777777" w:rsidR="00335B0A" w:rsidRPr="00335B0A" w:rsidRDefault="00335B0A" w:rsidP="00335B0A">
      <w:pPr>
        <w:pStyle w:val="NormalWeb"/>
        <w:rPr>
          <w:rFonts w:ascii="Calibri" w:hAnsi="Calibri" w:cs="Calibri"/>
        </w:rPr>
      </w:pPr>
      <w:r w:rsidRPr="00335B0A">
        <w:rPr>
          <w:rFonts w:ascii="Calibri" w:hAnsi="Calibri" w:cs="Calibri"/>
        </w:rPr>
        <w:t>These features align with industry compliance standards, including GDPR and CCPA, ensuring data security and regulatory compliance.</w:t>
      </w:r>
    </w:p>
    <w:p w14:paraId="080B1C8B" w14:textId="77777777" w:rsidR="003E3885" w:rsidRPr="00335B0A" w:rsidRDefault="003E3885" w:rsidP="003E3885">
      <w:pPr>
        <w:pStyle w:val="Heading3"/>
        <w:rPr>
          <w:rFonts w:ascii="Calibri" w:hAnsi="Calibri" w:cs="Calibri"/>
          <w:b/>
          <w:bCs/>
        </w:rPr>
      </w:pPr>
      <w:r w:rsidRPr="00335B0A">
        <w:rPr>
          <w:rFonts w:ascii="Calibri" w:hAnsi="Calibri" w:cs="Calibri"/>
          <w:b/>
          <w:bCs/>
        </w:rPr>
        <w:t>Performance Optimization and Benchmarking</w:t>
      </w:r>
    </w:p>
    <w:p w14:paraId="4D8E7A13" w14:textId="77777777" w:rsidR="00335B0A" w:rsidRPr="00335B0A" w:rsidRDefault="00335B0A" w:rsidP="00335B0A">
      <w:pPr>
        <w:pStyle w:val="NormalWeb"/>
        <w:rPr>
          <w:rFonts w:ascii="Calibri" w:hAnsi="Calibri" w:cs="Calibri"/>
        </w:rPr>
      </w:pPr>
      <w:r w:rsidRPr="00335B0A">
        <w:rPr>
          <w:rFonts w:ascii="Calibri" w:hAnsi="Calibri" w:cs="Calibri"/>
        </w:rPr>
        <w:t>A comprehensive performance study leveraging a 100TB BDI (Big Data Intelligence) workload was conducted to evaluate the capabilities of the P10 PCR Full Rack System (BRL) in comparison to the previous IIAS Sailfish Full Rack architecture. The findings revealed substantial performance enhancements across all workload scenarios, underscoring the superior efficiency of the P10 PCR system:</w:t>
      </w:r>
    </w:p>
    <w:p w14:paraId="6DEE0929" w14:textId="77777777" w:rsidR="00335B0A" w:rsidRPr="00335B0A" w:rsidRDefault="00335B0A" w:rsidP="00335B0A">
      <w:pPr>
        <w:pStyle w:val="NormalWeb"/>
        <w:numPr>
          <w:ilvl w:val="0"/>
          <w:numId w:val="19"/>
        </w:numPr>
        <w:rPr>
          <w:rFonts w:ascii="Calibri" w:hAnsi="Calibri" w:cs="Calibri"/>
        </w:rPr>
      </w:pPr>
      <w:r w:rsidRPr="00335B0A">
        <w:rPr>
          <w:rStyle w:val="Strong"/>
          <w:rFonts w:ascii="Calibri" w:eastAsiaTheme="majorEastAsia" w:hAnsi="Calibri" w:cs="Calibri"/>
        </w:rPr>
        <w:t>Read Workload Performance:</w:t>
      </w:r>
      <w:r w:rsidRPr="00335B0A">
        <w:rPr>
          <w:rFonts w:ascii="Calibri" w:hAnsi="Calibri" w:cs="Calibri"/>
        </w:rPr>
        <w:t xml:space="preserve"> Achieved </w:t>
      </w:r>
      <w:r w:rsidRPr="00335B0A">
        <w:rPr>
          <w:rStyle w:val="Strong"/>
          <w:rFonts w:ascii="Calibri" w:eastAsiaTheme="majorEastAsia" w:hAnsi="Calibri" w:cs="Calibri"/>
        </w:rPr>
        <w:t>2-2.5x</w:t>
      </w:r>
      <w:r w:rsidRPr="00335B0A">
        <w:rPr>
          <w:rFonts w:ascii="Calibri" w:hAnsi="Calibri" w:cs="Calibri"/>
        </w:rPr>
        <w:t xml:space="preserve"> faster processing for serial-style workloads and delivered an average of </w:t>
      </w:r>
      <w:r w:rsidRPr="00335B0A">
        <w:rPr>
          <w:rStyle w:val="Strong"/>
          <w:rFonts w:ascii="Calibri" w:eastAsiaTheme="majorEastAsia" w:hAnsi="Calibri" w:cs="Calibri"/>
        </w:rPr>
        <w:t>4.3x</w:t>
      </w:r>
      <w:r w:rsidRPr="00335B0A">
        <w:rPr>
          <w:rFonts w:ascii="Calibri" w:hAnsi="Calibri" w:cs="Calibri"/>
        </w:rPr>
        <w:t xml:space="preserve"> higher query rate per hour throughput on multi-user workloads on P10 PCR.</w:t>
      </w:r>
    </w:p>
    <w:p w14:paraId="5FE25710" w14:textId="77777777" w:rsidR="00335B0A" w:rsidRPr="00335B0A" w:rsidRDefault="00335B0A" w:rsidP="00335B0A">
      <w:pPr>
        <w:pStyle w:val="NormalWeb"/>
        <w:numPr>
          <w:ilvl w:val="0"/>
          <w:numId w:val="19"/>
        </w:numPr>
        <w:rPr>
          <w:rFonts w:ascii="Calibri" w:hAnsi="Calibri" w:cs="Calibri"/>
        </w:rPr>
      </w:pPr>
      <w:r w:rsidRPr="00335B0A">
        <w:rPr>
          <w:rStyle w:val="Strong"/>
          <w:rFonts w:ascii="Calibri" w:eastAsiaTheme="majorEastAsia" w:hAnsi="Calibri" w:cs="Calibri"/>
        </w:rPr>
        <w:t>IUD Workload Performance:</w:t>
      </w:r>
      <w:r w:rsidRPr="00335B0A">
        <w:rPr>
          <w:rFonts w:ascii="Calibri" w:hAnsi="Calibri" w:cs="Calibri"/>
        </w:rPr>
        <w:t xml:space="preserve"> Demonstrated </w:t>
      </w:r>
      <w:r w:rsidRPr="00335B0A">
        <w:rPr>
          <w:rStyle w:val="Strong"/>
          <w:rFonts w:ascii="Calibri" w:eastAsiaTheme="majorEastAsia" w:hAnsi="Calibri" w:cs="Calibri"/>
        </w:rPr>
        <w:t>4.1x</w:t>
      </w:r>
      <w:r w:rsidRPr="00335B0A">
        <w:rPr>
          <w:rFonts w:ascii="Calibri" w:hAnsi="Calibri" w:cs="Calibri"/>
        </w:rPr>
        <w:t xml:space="preserve"> faster insert and </w:t>
      </w:r>
      <w:r w:rsidRPr="00335B0A">
        <w:rPr>
          <w:rStyle w:val="Strong"/>
          <w:rFonts w:ascii="Calibri" w:eastAsiaTheme="majorEastAsia" w:hAnsi="Calibri" w:cs="Calibri"/>
        </w:rPr>
        <w:t>1.8x</w:t>
      </w:r>
      <w:r w:rsidRPr="00335B0A">
        <w:rPr>
          <w:rFonts w:ascii="Calibri" w:hAnsi="Calibri" w:cs="Calibri"/>
        </w:rPr>
        <w:t xml:space="preserve"> faster update operations on P10 PCR.</w:t>
      </w:r>
    </w:p>
    <w:p w14:paraId="0932F3AE" w14:textId="77777777" w:rsidR="00335B0A" w:rsidRPr="00335B0A" w:rsidRDefault="00335B0A" w:rsidP="00335B0A">
      <w:pPr>
        <w:pStyle w:val="NormalWeb"/>
        <w:numPr>
          <w:ilvl w:val="0"/>
          <w:numId w:val="19"/>
        </w:numPr>
        <w:rPr>
          <w:rFonts w:ascii="Calibri" w:hAnsi="Calibri" w:cs="Calibri"/>
        </w:rPr>
      </w:pPr>
      <w:r w:rsidRPr="00335B0A">
        <w:rPr>
          <w:rStyle w:val="Strong"/>
          <w:rFonts w:ascii="Calibri" w:eastAsiaTheme="majorEastAsia" w:hAnsi="Calibri" w:cs="Calibri"/>
        </w:rPr>
        <w:t>ET Unload Performance:</w:t>
      </w:r>
      <w:r w:rsidRPr="00335B0A">
        <w:rPr>
          <w:rFonts w:ascii="Calibri" w:hAnsi="Calibri" w:cs="Calibri"/>
        </w:rPr>
        <w:t xml:space="preserve"> Delivered </w:t>
      </w:r>
      <w:r w:rsidRPr="00335B0A">
        <w:rPr>
          <w:rStyle w:val="Strong"/>
          <w:rFonts w:ascii="Calibri" w:eastAsiaTheme="majorEastAsia" w:hAnsi="Calibri" w:cs="Calibri"/>
        </w:rPr>
        <w:t>4.7x</w:t>
      </w:r>
      <w:r w:rsidRPr="00335B0A">
        <w:rPr>
          <w:rFonts w:ascii="Calibri" w:hAnsi="Calibri" w:cs="Calibri"/>
        </w:rPr>
        <w:t xml:space="preserve"> faster unloading speeds on P10 PCR compared to IIAS Sailfish.</w:t>
      </w:r>
    </w:p>
    <w:p w14:paraId="02BB1F26" w14:textId="77777777" w:rsidR="00335B0A" w:rsidRPr="00335B0A" w:rsidRDefault="00335B0A" w:rsidP="00335B0A">
      <w:pPr>
        <w:pStyle w:val="NormalWeb"/>
        <w:numPr>
          <w:ilvl w:val="0"/>
          <w:numId w:val="19"/>
        </w:numPr>
        <w:rPr>
          <w:rFonts w:ascii="Calibri" w:hAnsi="Calibri" w:cs="Calibri"/>
        </w:rPr>
      </w:pPr>
      <w:r w:rsidRPr="00335B0A">
        <w:rPr>
          <w:rStyle w:val="Strong"/>
          <w:rFonts w:ascii="Calibri" w:eastAsiaTheme="majorEastAsia" w:hAnsi="Calibri" w:cs="Calibri"/>
        </w:rPr>
        <w:t>Backup Performance:</w:t>
      </w:r>
      <w:r w:rsidRPr="00335B0A">
        <w:rPr>
          <w:rFonts w:ascii="Calibri" w:hAnsi="Calibri" w:cs="Calibri"/>
        </w:rPr>
        <w:t xml:space="preserve"> Achieved </w:t>
      </w:r>
      <w:r w:rsidRPr="00335B0A">
        <w:rPr>
          <w:rStyle w:val="Strong"/>
          <w:rFonts w:ascii="Calibri" w:eastAsiaTheme="majorEastAsia" w:hAnsi="Calibri" w:cs="Calibri"/>
        </w:rPr>
        <w:t>3.2x</w:t>
      </w:r>
      <w:r w:rsidRPr="00335B0A">
        <w:rPr>
          <w:rFonts w:ascii="Calibri" w:hAnsi="Calibri" w:cs="Calibri"/>
        </w:rPr>
        <w:t xml:space="preserve"> faster backup times on P10 PCR versus IIAS Sailfish.</w:t>
      </w:r>
    </w:p>
    <w:p w14:paraId="5FA6AC7A" w14:textId="77777777" w:rsidR="00335B0A" w:rsidRPr="00335B0A" w:rsidRDefault="00335B0A" w:rsidP="00335B0A">
      <w:pPr>
        <w:pStyle w:val="NormalWeb"/>
        <w:rPr>
          <w:rFonts w:ascii="Calibri" w:hAnsi="Calibri" w:cs="Calibri"/>
        </w:rPr>
      </w:pPr>
      <w:r w:rsidRPr="00335B0A">
        <w:rPr>
          <w:rFonts w:ascii="Calibri" w:hAnsi="Calibri" w:cs="Calibri"/>
        </w:rPr>
        <w:lastRenderedPageBreak/>
        <w:t>These performance gains can be attributed to the increased memory capacity of the P10 PCR cluster, which supports a larger storage buffer pool. This enhancement significantly reduces the dependency on disk I/O operations, thereby minimizing CPU wait times and maximizing CPU utilization. These results highlight the P10 PCR system's capability to efficiently handle demanding big data workloads, delivering improved throughput and operational efficiency.</w:t>
      </w:r>
    </w:p>
    <w:p w14:paraId="3E6B116B" w14:textId="6323B214" w:rsidR="00B9568B" w:rsidRPr="00335B0A" w:rsidRDefault="00B9568B" w:rsidP="00B9568B">
      <w:pPr>
        <w:pStyle w:val="NormalWeb"/>
        <w:rPr>
          <w:rFonts w:ascii="Calibri" w:hAnsi="Calibri" w:cs="Calibri"/>
        </w:rPr>
      </w:pPr>
      <w:r w:rsidRPr="00335B0A">
        <w:rPr>
          <w:rFonts w:ascii="Calibri" w:hAnsi="Calibri" w:cs="Calibri"/>
          <w:b/>
          <w:bCs/>
          <w:noProof/>
        </w:rPr>
        <w:drawing>
          <wp:inline distT="0" distB="0" distL="0" distR="0" wp14:anchorId="30F87DE8" wp14:editId="1FB7E3B3">
            <wp:extent cx="5943600" cy="3346450"/>
            <wp:effectExtent l="0" t="0" r="0" b="6350"/>
            <wp:docPr id="829791929"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91929" name="Picture 10"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1C932CB1" w14:textId="77777777" w:rsidR="00B9568B" w:rsidRPr="00335B0A" w:rsidRDefault="00B9568B" w:rsidP="00B9568B">
      <w:pPr>
        <w:pStyle w:val="Caption"/>
        <w:jc w:val="center"/>
        <w:rPr>
          <w:rFonts w:ascii="Calibri" w:hAnsi="Calibri" w:cs="Calibri"/>
        </w:rPr>
      </w:pPr>
      <w:r w:rsidRPr="00335B0A">
        <w:rPr>
          <w:rFonts w:ascii="Calibri" w:hAnsi="Calibri" w:cs="Calibri"/>
          <w:b/>
          <w:bCs/>
        </w:rPr>
        <w:t>Figure 4:</w:t>
      </w:r>
      <w:r w:rsidRPr="00335B0A">
        <w:rPr>
          <w:rFonts w:ascii="Calibri" w:hAnsi="Calibri" w:cs="Calibri"/>
        </w:rPr>
        <w:t xml:space="preserve"> BDI 100TB Read Workload Performance on P10 PCR vs IIAS/Sailfish</w:t>
      </w:r>
    </w:p>
    <w:p w14:paraId="3DEC2ED1" w14:textId="77777777" w:rsidR="00B9568B" w:rsidRPr="00335B0A" w:rsidRDefault="003E3885" w:rsidP="00B9568B">
      <w:pPr>
        <w:pStyle w:val="Caption"/>
        <w:keepNext/>
        <w:jc w:val="center"/>
        <w:rPr>
          <w:rFonts w:ascii="Calibri" w:hAnsi="Calibri" w:cs="Calibri"/>
        </w:rPr>
      </w:pPr>
      <w:r w:rsidRPr="00335B0A">
        <w:rPr>
          <w:rFonts w:ascii="Calibri" w:hAnsi="Calibri" w:cs="Calibri"/>
          <w:b/>
          <w:bCs/>
        </w:rPr>
        <w:br/>
      </w:r>
      <w:r w:rsidR="00B9568B" w:rsidRPr="00335B0A">
        <w:rPr>
          <w:rFonts w:ascii="Calibri" w:hAnsi="Calibri" w:cs="Calibri"/>
          <w:b/>
          <w:bCs/>
          <w:noProof/>
        </w:rPr>
        <w:drawing>
          <wp:inline distT="0" distB="0" distL="0" distR="0" wp14:anchorId="38152E9A" wp14:editId="13FB033C">
            <wp:extent cx="5943600" cy="2858770"/>
            <wp:effectExtent l="0" t="0" r="0" b="0"/>
            <wp:docPr id="1975115992"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5992" name="Picture 11"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16E19D1" w14:textId="3A22BAA4" w:rsidR="003E3885" w:rsidRPr="00335B0A" w:rsidRDefault="00B9568B" w:rsidP="00B9568B">
      <w:pPr>
        <w:pStyle w:val="Caption"/>
        <w:jc w:val="center"/>
        <w:rPr>
          <w:rFonts w:ascii="Calibri" w:hAnsi="Calibri" w:cs="Calibri"/>
        </w:rPr>
      </w:pPr>
      <w:r w:rsidRPr="00335B0A">
        <w:rPr>
          <w:rFonts w:ascii="Calibri" w:hAnsi="Calibri" w:cs="Calibri"/>
          <w:b/>
          <w:bCs/>
        </w:rPr>
        <w:t>Figure 5:</w:t>
      </w:r>
      <w:r w:rsidRPr="00335B0A">
        <w:rPr>
          <w:rFonts w:ascii="Calibri" w:hAnsi="Calibri" w:cs="Calibri"/>
        </w:rPr>
        <w:t xml:space="preserve"> Write Workload Performance on P10 PCR vs IIAS/Sailfish</w:t>
      </w:r>
    </w:p>
    <w:p w14:paraId="35A3285E" w14:textId="77777777" w:rsidR="003E3885" w:rsidRPr="00335B0A" w:rsidRDefault="003E3885" w:rsidP="003E3885">
      <w:pPr>
        <w:pStyle w:val="Heading3"/>
        <w:rPr>
          <w:rFonts w:ascii="Calibri" w:hAnsi="Calibri" w:cs="Calibri"/>
          <w:b/>
          <w:bCs/>
        </w:rPr>
      </w:pPr>
      <w:r w:rsidRPr="00335B0A">
        <w:rPr>
          <w:rFonts w:ascii="Calibri" w:hAnsi="Calibri" w:cs="Calibri"/>
          <w:b/>
          <w:bCs/>
        </w:rPr>
        <w:lastRenderedPageBreak/>
        <w:t>System Management and Monitoring</w:t>
      </w:r>
    </w:p>
    <w:p w14:paraId="1AF08599" w14:textId="77777777" w:rsidR="00335B0A" w:rsidRPr="00335B0A" w:rsidRDefault="00335B0A" w:rsidP="00335B0A">
      <w:pPr>
        <w:pStyle w:val="NormalWeb"/>
        <w:rPr>
          <w:rFonts w:ascii="Calibri" w:hAnsi="Calibri" w:cs="Calibri"/>
        </w:rPr>
      </w:pPr>
      <w:r w:rsidRPr="00335B0A">
        <w:rPr>
          <w:rFonts w:ascii="Calibri" w:hAnsi="Calibri" w:cs="Calibri"/>
        </w:rPr>
        <w:t>Db2 on IBM’s P10 PCR is managed through the Db2 Management Console (DMC), which allows for metric collection and visualization and provides a unified interface for:</w:t>
      </w:r>
    </w:p>
    <w:p w14:paraId="1842005F" w14:textId="77777777" w:rsidR="00335B0A" w:rsidRPr="00335B0A" w:rsidRDefault="00335B0A" w:rsidP="00335B0A">
      <w:pPr>
        <w:pStyle w:val="NormalWeb"/>
        <w:numPr>
          <w:ilvl w:val="0"/>
          <w:numId w:val="20"/>
        </w:numPr>
        <w:rPr>
          <w:rFonts w:ascii="Calibri" w:hAnsi="Calibri" w:cs="Calibri"/>
        </w:rPr>
      </w:pPr>
      <w:r w:rsidRPr="00335B0A">
        <w:rPr>
          <w:rStyle w:val="Strong"/>
          <w:rFonts w:ascii="Calibri" w:eastAsiaTheme="majorEastAsia" w:hAnsi="Calibri" w:cs="Calibri"/>
        </w:rPr>
        <w:t>Performance Monitoring</w:t>
      </w:r>
      <w:r w:rsidRPr="00335B0A">
        <w:rPr>
          <w:rFonts w:ascii="Calibri" w:hAnsi="Calibri" w:cs="Calibri"/>
        </w:rPr>
        <w:t>: Real-time and historical analysis of system metrics, including CPU, memory, and I/O utilization.</w:t>
      </w:r>
    </w:p>
    <w:p w14:paraId="3715026C" w14:textId="77777777" w:rsidR="00335B0A" w:rsidRPr="00335B0A" w:rsidRDefault="00335B0A" w:rsidP="00335B0A">
      <w:pPr>
        <w:pStyle w:val="NormalWeb"/>
        <w:numPr>
          <w:ilvl w:val="0"/>
          <w:numId w:val="20"/>
        </w:numPr>
        <w:rPr>
          <w:rFonts w:ascii="Calibri" w:hAnsi="Calibri" w:cs="Calibri"/>
        </w:rPr>
      </w:pPr>
      <w:r w:rsidRPr="00335B0A">
        <w:rPr>
          <w:rStyle w:val="Strong"/>
          <w:rFonts w:ascii="Calibri" w:eastAsiaTheme="majorEastAsia" w:hAnsi="Calibri" w:cs="Calibri"/>
        </w:rPr>
        <w:t>Workload and Query Management</w:t>
      </w:r>
    </w:p>
    <w:p w14:paraId="3C0AAEC5" w14:textId="77777777" w:rsidR="00335B0A" w:rsidRPr="00335B0A" w:rsidRDefault="00335B0A" w:rsidP="00335B0A">
      <w:pPr>
        <w:pStyle w:val="NormalWeb"/>
        <w:numPr>
          <w:ilvl w:val="0"/>
          <w:numId w:val="20"/>
        </w:numPr>
        <w:rPr>
          <w:rFonts w:ascii="Calibri" w:hAnsi="Calibri" w:cs="Calibri"/>
        </w:rPr>
      </w:pPr>
      <w:r w:rsidRPr="00335B0A">
        <w:rPr>
          <w:rStyle w:val="Strong"/>
          <w:rFonts w:ascii="Calibri" w:eastAsiaTheme="majorEastAsia" w:hAnsi="Calibri" w:cs="Calibri"/>
        </w:rPr>
        <w:t>Resource Management and Data Exploration</w:t>
      </w:r>
    </w:p>
    <w:p w14:paraId="49FDF491" w14:textId="77777777" w:rsidR="003E3885" w:rsidRPr="00335B0A" w:rsidRDefault="003E3885" w:rsidP="003E3885">
      <w:pPr>
        <w:pStyle w:val="Heading3"/>
        <w:rPr>
          <w:rFonts w:ascii="Calibri" w:hAnsi="Calibri" w:cs="Calibri"/>
          <w:b/>
          <w:bCs/>
        </w:rPr>
      </w:pPr>
      <w:r w:rsidRPr="00335B0A">
        <w:rPr>
          <w:rFonts w:ascii="Calibri" w:hAnsi="Calibri" w:cs="Calibri"/>
          <w:b/>
          <w:bCs/>
        </w:rPr>
        <w:t>Software Lifecycle and Maintenance</w:t>
      </w:r>
    </w:p>
    <w:p w14:paraId="0C0DF24E" w14:textId="77777777" w:rsidR="00335B0A" w:rsidRPr="00335B0A" w:rsidRDefault="00335B0A" w:rsidP="00335B0A">
      <w:pPr>
        <w:pStyle w:val="NormalWeb"/>
        <w:rPr>
          <w:rFonts w:ascii="Calibri" w:hAnsi="Calibri" w:cs="Calibri"/>
        </w:rPr>
      </w:pPr>
      <w:r w:rsidRPr="00335B0A">
        <w:rPr>
          <w:rFonts w:ascii="Calibri" w:hAnsi="Calibri" w:cs="Calibri"/>
        </w:rPr>
        <w:t>IBM’s P10 PCR includes comprehensive lifecycle management for the entire software stack, including:</w:t>
      </w:r>
    </w:p>
    <w:p w14:paraId="0E1550D0" w14:textId="77777777" w:rsidR="00335B0A" w:rsidRPr="00335B0A" w:rsidRDefault="00335B0A" w:rsidP="00335B0A">
      <w:pPr>
        <w:pStyle w:val="NormalWeb"/>
        <w:numPr>
          <w:ilvl w:val="0"/>
          <w:numId w:val="21"/>
        </w:numPr>
        <w:rPr>
          <w:rFonts w:ascii="Calibri" w:hAnsi="Calibri" w:cs="Calibri"/>
        </w:rPr>
      </w:pPr>
      <w:r w:rsidRPr="00335B0A">
        <w:rPr>
          <w:rStyle w:val="Strong"/>
          <w:rFonts w:ascii="Calibri" w:eastAsiaTheme="majorEastAsia" w:hAnsi="Calibri" w:cs="Calibri"/>
        </w:rPr>
        <w:t>Firmware Updates</w:t>
      </w:r>
    </w:p>
    <w:p w14:paraId="62C9F10F" w14:textId="77777777" w:rsidR="00335B0A" w:rsidRPr="00335B0A" w:rsidRDefault="00335B0A" w:rsidP="00335B0A">
      <w:pPr>
        <w:pStyle w:val="NormalWeb"/>
        <w:numPr>
          <w:ilvl w:val="0"/>
          <w:numId w:val="21"/>
        </w:numPr>
        <w:rPr>
          <w:rFonts w:ascii="Calibri" w:hAnsi="Calibri" w:cs="Calibri"/>
        </w:rPr>
      </w:pPr>
      <w:r w:rsidRPr="00335B0A">
        <w:rPr>
          <w:rStyle w:val="Strong"/>
          <w:rFonts w:ascii="Calibri" w:eastAsiaTheme="majorEastAsia" w:hAnsi="Calibri" w:cs="Calibri"/>
        </w:rPr>
        <w:t>Container Platform Updates</w:t>
      </w:r>
      <w:r w:rsidRPr="00335B0A">
        <w:rPr>
          <w:rFonts w:ascii="Calibri" w:hAnsi="Calibri" w:cs="Calibri"/>
        </w:rPr>
        <w:t>: OCP and Storage Scale updates</w:t>
      </w:r>
    </w:p>
    <w:p w14:paraId="7831C0CF" w14:textId="77777777" w:rsidR="00335B0A" w:rsidRPr="00335B0A" w:rsidRDefault="00335B0A" w:rsidP="00335B0A">
      <w:pPr>
        <w:pStyle w:val="NormalWeb"/>
        <w:numPr>
          <w:ilvl w:val="0"/>
          <w:numId w:val="21"/>
        </w:numPr>
        <w:rPr>
          <w:rFonts w:ascii="Calibri" w:hAnsi="Calibri" w:cs="Calibri"/>
        </w:rPr>
      </w:pPr>
      <w:r w:rsidRPr="00335B0A">
        <w:rPr>
          <w:rStyle w:val="Strong"/>
          <w:rFonts w:ascii="Calibri" w:eastAsiaTheme="majorEastAsia" w:hAnsi="Calibri" w:cs="Calibri"/>
        </w:rPr>
        <w:t>Db2 Software Updates</w:t>
      </w:r>
    </w:p>
    <w:p w14:paraId="27BEC8C6" w14:textId="77777777" w:rsidR="00335B0A" w:rsidRPr="00335B0A" w:rsidRDefault="00335B0A" w:rsidP="00335B0A">
      <w:pPr>
        <w:pStyle w:val="NormalWeb"/>
        <w:rPr>
          <w:rFonts w:ascii="Calibri" w:hAnsi="Calibri" w:cs="Calibri"/>
        </w:rPr>
      </w:pPr>
      <w:r w:rsidRPr="00335B0A">
        <w:rPr>
          <w:rFonts w:ascii="Calibri" w:hAnsi="Calibri" w:cs="Calibri"/>
        </w:rPr>
        <w:t>Customers have the option to perform these updates independently or outsource these tasks to IBM or another third party.</w:t>
      </w:r>
    </w:p>
    <w:p w14:paraId="3E328AF1" w14:textId="77777777" w:rsidR="003E3885" w:rsidRPr="00335B0A" w:rsidRDefault="003E3885" w:rsidP="003E3885">
      <w:pPr>
        <w:pStyle w:val="Heading3"/>
        <w:rPr>
          <w:rFonts w:ascii="Calibri" w:hAnsi="Calibri" w:cs="Calibri"/>
          <w:b/>
          <w:bCs/>
        </w:rPr>
      </w:pPr>
      <w:r w:rsidRPr="00335B0A">
        <w:rPr>
          <w:rFonts w:ascii="Calibri" w:hAnsi="Calibri" w:cs="Calibri"/>
          <w:b/>
          <w:bCs/>
        </w:rPr>
        <w:t>Support and Maintenance Model</w:t>
      </w:r>
    </w:p>
    <w:p w14:paraId="490534C4" w14:textId="77777777" w:rsidR="00335B0A" w:rsidRPr="00335B0A" w:rsidRDefault="00335B0A" w:rsidP="00335B0A">
      <w:pPr>
        <w:pStyle w:val="NormalWeb"/>
        <w:rPr>
          <w:rFonts w:ascii="Calibri" w:hAnsi="Calibri" w:cs="Calibri"/>
        </w:rPr>
      </w:pPr>
      <w:r w:rsidRPr="00335B0A">
        <w:rPr>
          <w:rFonts w:ascii="Calibri" w:hAnsi="Calibri" w:cs="Calibri"/>
        </w:rPr>
        <w:t>IBM’s P10 PCR features a unified support model, offering a single point of triage for all hardware and software components. This integrated support structure reduces complexity and accelerates issue resolution. The support team is equipped with deep knowledge of the P10 PCR architecture, ensuring efficient root cause analysis and resolution.</w:t>
      </w:r>
    </w:p>
    <w:p w14:paraId="743C7289" w14:textId="77777777" w:rsidR="003E3885" w:rsidRPr="00335B0A" w:rsidRDefault="003E3885" w:rsidP="003E3885">
      <w:pPr>
        <w:pStyle w:val="Heading3"/>
        <w:rPr>
          <w:rFonts w:ascii="Calibri" w:hAnsi="Calibri" w:cs="Calibri"/>
          <w:b/>
          <w:bCs/>
        </w:rPr>
      </w:pPr>
      <w:r w:rsidRPr="00335B0A">
        <w:rPr>
          <w:rFonts w:ascii="Calibri" w:hAnsi="Calibri" w:cs="Calibri"/>
          <w:b/>
          <w:bCs/>
        </w:rPr>
        <w:t>Conclusion</w:t>
      </w:r>
    </w:p>
    <w:p w14:paraId="580FCC2E" w14:textId="77777777" w:rsidR="00335B0A" w:rsidRPr="00335B0A" w:rsidRDefault="00335B0A" w:rsidP="00335B0A">
      <w:pPr>
        <w:pStyle w:val="NormalWeb"/>
        <w:rPr>
          <w:rFonts w:ascii="Calibri" w:hAnsi="Calibri" w:cs="Calibri"/>
        </w:rPr>
      </w:pPr>
      <w:r w:rsidRPr="00335B0A">
        <w:rPr>
          <w:rFonts w:ascii="Calibri" w:hAnsi="Calibri" w:cs="Calibri"/>
        </w:rPr>
        <w:t>IBM’s Power10 Private Cloud Rack for Db2 Warehouse is designed to support high-performance, scalable data warehouse workloads. Its containerized architecture and advanced security features make it a robust choice for organizations requiring high availability, data integrity, and compliance.</w:t>
      </w:r>
    </w:p>
    <w:p w14:paraId="7118D3E1" w14:textId="77777777" w:rsidR="00335B0A" w:rsidRDefault="00335B0A" w:rsidP="00335B0A">
      <w:pPr>
        <w:pStyle w:val="NormalWeb"/>
        <w:rPr>
          <w:rFonts w:ascii="Calibri" w:hAnsi="Calibri" w:cs="Calibri"/>
        </w:rPr>
      </w:pPr>
      <w:r w:rsidRPr="00335B0A">
        <w:rPr>
          <w:rFonts w:ascii="Calibri" w:hAnsi="Calibri" w:cs="Calibri"/>
        </w:rPr>
        <w:t>The system's modular design and integrated management tools enable efficient resource scaling while maintaining performance consistency. Leveraging IBM Power10 processors and FlashSystem storage, the P10 PCR provides optimized compute and storage capabilities for enterprise data processing.</w:t>
      </w:r>
    </w:p>
    <w:p w14:paraId="105D1C57" w14:textId="77777777" w:rsidR="00181B97" w:rsidRDefault="00181B97" w:rsidP="00335B0A">
      <w:pPr>
        <w:pStyle w:val="NormalWeb"/>
        <w:rPr>
          <w:rFonts w:ascii="Calibri" w:hAnsi="Calibri" w:cs="Calibri"/>
        </w:rPr>
      </w:pPr>
    </w:p>
    <w:p w14:paraId="40D7FC23" w14:textId="3D74392C" w:rsidR="00181B97" w:rsidRPr="00181B97" w:rsidRDefault="00181B97" w:rsidP="00181B97">
      <w:pPr>
        <w:pStyle w:val="NormalWeb"/>
        <w:rPr>
          <w:rFonts w:ascii="Calibri" w:hAnsi="Calibri" w:cs="Calibri"/>
        </w:rPr>
      </w:pPr>
      <w:r w:rsidRPr="00181B97">
        <w:rPr>
          <w:rStyle w:val="Strong"/>
          <w:rFonts w:ascii="Calibri" w:eastAsiaTheme="majorEastAsia" w:hAnsi="Calibri" w:cs="Calibri"/>
        </w:rPr>
        <w:lastRenderedPageBreak/>
        <w:t>About the Author</w:t>
      </w:r>
      <w:r w:rsidR="0069548F">
        <w:rPr>
          <w:rStyle w:val="Strong"/>
          <w:rFonts w:ascii="Calibri" w:eastAsiaTheme="majorEastAsia" w:hAnsi="Calibri" w:cs="Calibri"/>
        </w:rPr>
        <w:t>s</w:t>
      </w:r>
    </w:p>
    <w:p w14:paraId="01443B5B" w14:textId="77777777" w:rsidR="00E5186C" w:rsidRPr="00E5186C" w:rsidRDefault="00E5186C" w:rsidP="00E5186C">
      <w:pPr>
        <w:spacing w:after="0" w:line="240" w:lineRule="auto"/>
        <w:rPr>
          <w:rFonts w:ascii="Calibri" w:hAnsi="Calibri" w:cs="Calibri"/>
        </w:rPr>
      </w:pPr>
      <w:r w:rsidRPr="00E5186C">
        <w:rPr>
          <w:rFonts w:ascii="Calibri" w:hAnsi="Calibri" w:cs="Calibri"/>
          <w:b/>
          <w:bCs/>
        </w:rPr>
        <w:t>Aslam Nomani</w:t>
      </w:r>
      <w:r w:rsidRPr="00E5186C">
        <w:rPr>
          <w:rFonts w:ascii="Calibri" w:hAnsi="Calibri" w:cs="Calibri"/>
        </w:rPr>
        <w:t> is a Senior Technical Staff Member and Senior Manager within the Db2 Development team.  He currently leads a team focused on modernization and the exploitation of Generative AI.  Aslam has been with the Db2 team in the IBM Toronto Lab for over 25 years and has a BSc in Computer Science and a BSc in Commerce.   His focus areas in the past have been around Quality Assurance and delivering Continuously Available solutions.   Aslam can be reached at </w:t>
      </w:r>
      <w:hyperlink r:id="rId14" w:tgtFrame="_blank" w:history="1">
        <w:r w:rsidRPr="00E5186C">
          <w:rPr>
            <w:rStyle w:val="Hyperlink"/>
            <w:rFonts w:ascii="Calibri" w:hAnsi="Calibri" w:cs="Calibri"/>
          </w:rPr>
          <w:t>aslam@ca.ibm.com</w:t>
        </w:r>
      </w:hyperlink>
      <w:r w:rsidRPr="00E5186C">
        <w:rPr>
          <w:rFonts w:ascii="Calibri" w:hAnsi="Calibri" w:cs="Calibri"/>
        </w:rPr>
        <w:t xml:space="preserve"> </w:t>
      </w:r>
    </w:p>
    <w:p w14:paraId="38F0AE5F" w14:textId="6C6847FC" w:rsidR="00181B97" w:rsidRDefault="00181B97" w:rsidP="00181B97">
      <w:pPr>
        <w:pStyle w:val="NormalWeb"/>
        <w:rPr>
          <w:rFonts w:ascii="Calibri" w:hAnsi="Calibri" w:cs="Calibri"/>
        </w:rPr>
      </w:pPr>
      <w:r w:rsidRPr="00181B97">
        <w:rPr>
          <w:rFonts w:ascii="Calibri" w:hAnsi="Calibri" w:cs="Calibri"/>
          <w:b/>
          <w:bCs/>
        </w:rPr>
        <w:t>Jana Wong</w:t>
      </w:r>
      <w:r w:rsidRPr="00181B97">
        <w:rPr>
          <w:rFonts w:ascii="Calibri" w:hAnsi="Calibri" w:cs="Calibri"/>
        </w:rPr>
        <w:t xml:space="preserve"> is the principal performance focal for Data Warehouse </w:t>
      </w:r>
      <w:proofErr w:type="gramStart"/>
      <w:r w:rsidRPr="00181B97">
        <w:rPr>
          <w:rFonts w:ascii="Calibri" w:hAnsi="Calibri" w:cs="Calibri"/>
        </w:rPr>
        <w:t>on-premise</w:t>
      </w:r>
      <w:proofErr w:type="gramEnd"/>
      <w:r w:rsidRPr="00181B97">
        <w:rPr>
          <w:rFonts w:ascii="Calibri" w:hAnsi="Calibri" w:cs="Calibri"/>
        </w:rPr>
        <w:t xml:space="preserve"> solutions at the IBM Silicon Valley Lab, with over 15 years of experience in Databases, SQL, QA, and Project Management. She holds a </w:t>
      </w:r>
      <w:proofErr w:type="gramStart"/>
      <w:r w:rsidRPr="00181B97">
        <w:rPr>
          <w:rFonts w:ascii="Calibri" w:hAnsi="Calibri" w:cs="Calibri"/>
        </w:rPr>
        <w:t>Master’s in Computer Science</w:t>
      </w:r>
      <w:proofErr w:type="gramEnd"/>
      <w:r w:rsidRPr="00181B97">
        <w:rPr>
          <w:rFonts w:ascii="Calibri" w:hAnsi="Calibri" w:cs="Calibri"/>
        </w:rPr>
        <w:t xml:space="preserve"> from the University of Rostock. Recently, she led the development and automation of a benchmark kit for validating IBM's Power10 Private Cloud Rack and played a key role in evaluating the performance of reference architectures such as IIAS/Sailfish and P10 PCR.</w:t>
      </w:r>
      <w:r w:rsidR="00E5186C">
        <w:rPr>
          <w:rFonts w:ascii="Calibri" w:hAnsi="Calibri" w:cs="Calibri"/>
        </w:rPr>
        <w:t xml:space="preserve"> Jana can be reached at </w:t>
      </w:r>
      <w:hyperlink r:id="rId15" w:history="1">
        <w:r w:rsidR="00E5186C" w:rsidRPr="003F6748">
          <w:rPr>
            <w:rStyle w:val="Hyperlink"/>
            <w:rFonts w:ascii="Calibri" w:hAnsi="Calibri" w:cs="Calibri"/>
          </w:rPr>
          <w:t>jfitzge@us.ibm.com</w:t>
        </w:r>
      </w:hyperlink>
      <w:r w:rsidR="00E5186C">
        <w:rPr>
          <w:rFonts w:ascii="Calibri" w:hAnsi="Calibri" w:cs="Calibri"/>
        </w:rPr>
        <w:t>.</w:t>
      </w:r>
    </w:p>
    <w:p w14:paraId="7F91B1A5" w14:textId="5D03814B" w:rsidR="00E5186C" w:rsidRPr="00C7375D" w:rsidRDefault="00C7375D" w:rsidP="00181B97">
      <w:pPr>
        <w:pStyle w:val="NormalWeb"/>
        <w:rPr>
          <w:rFonts w:ascii="Calibri" w:hAnsi="Calibri" w:cs="Calibri"/>
        </w:rPr>
      </w:pPr>
      <w:r w:rsidRPr="00C7375D">
        <w:rPr>
          <w:rFonts w:ascii="Calibri" w:hAnsi="Calibri" w:cs="Calibri"/>
          <w:b/>
          <w:bCs/>
        </w:rPr>
        <w:t>John Bell</w:t>
      </w:r>
      <w:r w:rsidRPr="00C7375D">
        <w:rPr>
          <w:rFonts w:ascii="Calibri" w:hAnsi="Calibri" w:cs="Calibri"/>
        </w:rPr>
        <w:t xml:space="preserve"> is a Distinguished Engineer and Data Warehouse Architect at IBM, with over 25 years of experience in data warehousing and analytics. He has played a pivotal role in developing IBM's data warehouse solutions, including </w:t>
      </w:r>
      <w:r>
        <w:rPr>
          <w:rFonts w:ascii="Calibri" w:hAnsi="Calibri" w:cs="Calibri"/>
        </w:rPr>
        <w:t xml:space="preserve">IBM’s Power10 Private Cloud Rack </w:t>
      </w:r>
      <w:r w:rsidRPr="00C7375D">
        <w:rPr>
          <w:rFonts w:ascii="Calibri" w:hAnsi="Calibri" w:cs="Calibri"/>
        </w:rPr>
        <w:t>reference architecture. He can be reached at john.bell@ibm.com.</w:t>
      </w:r>
    </w:p>
    <w:p w14:paraId="6FB49EE7" w14:textId="77777777" w:rsidR="00181B97" w:rsidRPr="00335B0A" w:rsidRDefault="00181B97" w:rsidP="00335B0A">
      <w:pPr>
        <w:pStyle w:val="NormalWeb"/>
        <w:rPr>
          <w:rFonts w:ascii="Calibri" w:hAnsi="Calibri" w:cs="Calibri"/>
        </w:rPr>
      </w:pPr>
    </w:p>
    <w:p w14:paraId="3B140307" w14:textId="61C4DAEE" w:rsidR="00B71B93" w:rsidRPr="00335B0A" w:rsidRDefault="00B71B93" w:rsidP="00335B0A">
      <w:pPr>
        <w:pStyle w:val="NormalWeb"/>
        <w:rPr>
          <w:rFonts w:ascii="Calibri" w:hAnsi="Calibri" w:cs="Calibri"/>
        </w:rPr>
      </w:pPr>
    </w:p>
    <w:sectPr w:rsidR="00B71B93" w:rsidRPr="00335B0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BE4"/>
    <w:multiLevelType w:val="multilevel"/>
    <w:tmpl w:val="FECA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A5B18"/>
    <w:multiLevelType w:val="hybridMultilevel"/>
    <w:tmpl w:val="CC9E7A7C"/>
    <w:lvl w:ilvl="0" w:tplc="86C6D650">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E59AA"/>
    <w:multiLevelType w:val="multilevel"/>
    <w:tmpl w:val="16FC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52946"/>
    <w:multiLevelType w:val="multilevel"/>
    <w:tmpl w:val="3FB0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05C8C"/>
    <w:multiLevelType w:val="multilevel"/>
    <w:tmpl w:val="6996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C303A3"/>
    <w:multiLevelType w:val="hybridMultilevel"/>
    <w:tmpl w:val="4A46D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E15A2F"/>
    <w:multiLevelType w:val="multilevel"/>
    <w:tmpl w:val="1876B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D53B6"/>
    <w:multiLevelType w:val="multilevel"/>
    <w:tmpl w:val="5390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712D76"/>
    <w:multiLevelType w:val="multilevel"/>
    <w:tmpl w:val="912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E528F0"/>
    <w:multiLevelType w:val="multilevel"/>
    <w:tmpl w:val="91C6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4636A"/>
    <w:multiLevelType w:val="multilevel"/>
    <w:tmpl w:val="3368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71001"/>
    <w:multiLevelType w:val="hybridMultilevel"/>
    <w:tmpl w:val="764E0A0A"/>
    <w:lvl w:ilvl="0" w:tplc="4030D6D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DD2D77"/>
    <w:multiLevelType w:val="multilevel"/>
    <w:tmpl w:val="AF22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41349B"/>
    <w:multiLevelType w:val="multilevel"/>
    <w:tmpl w:val="C35C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F06708"/>
    <w:multiLevelType w:val="multilevel"/>
    <w:tmpl w:val="FAC4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1C2AE5"/>
    <w:multiLevelType w:val="multilevel"/>
    <w:tmpl w:val="878E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06833"/>
    <w:multiLevelType w:val="multilevel"/>
    <w:tmpl w:val="6D2A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34169"/>
    <w:multiLevelType w:val="multilevel"/>
    <w:tmpl w:val="2A2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09558E"/>
    <w:multiLevelType w:val="multilevel"/>
    <w:tmpl w:val="FBC6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AC585F"/>
    <w:multiLevelType w:val="multilevel"/>
    <w:tmpl w:val="0FB4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6F6C2E"/>
    <w:multiLevelType w:val="hybridMultilevel"/>
    <w:tmpl w:val="64ACAD72"/>
    <w:lvl w:ilvl="0" w:tplc="86C6D650">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232808">
    <w:abstractNumId w:val="11"/>
  </w:num>
  <w:num w:numId="2" w16cid:durableId="866213031">
    <w:abstractNumId w:val="19"/>
  </w:num>
  <w:num w:numId="3" w16cid:durableId="905064927">
    <w:abstractNumId w:val="18"/>
  </w:num>
  <w:num w:numId="4" w16cid:durableId="2040356572">
    <w:abstractNumId w:val="14"/>
  </w:num>
  <w:num w:numId="5" w16cid:durableId="990788177">
    <w:abstractNumId w:val="10"/>
  </w:num>
  <w:num w:numId="6" w16cid:durableId="584727218">
    <w:abstractNumId w:val="4"/>
  </w:num>
  <w:num w:numId="7" w16cid:durableId="170489472">
    <w:abstractNumId w:val="2"/>
  </w:num>
  <w:num w:numId="8" w16cid:durableId="738552051">
    <w:abstractNumId w:val="12"/>
  </w:num>
  <w:num w:numId="9" w16cid:durableId="589970213">
    <w:abstractNumId w:val="17"/>
  </w:num>
  <w:num w:numId="10" w16cid:durableId="1066873818">
    <w:abstractNumId w:val="16"/>
  </w:num>
  <w:num w:numId="11" w16cid:durableId="2023390788">
    <w:abstractNumId w:val="0"/>
  </w:num>
  <w:num w:numId="12" w16cid:durableId="699935338">
    <w:abstractNumId w:val="7"/>
  </w:num>
  <w:num w:numId="13" w16cid:durableId="1329558542">
    <w:abstractNumId w:val="9"/>
  </w:num>
  <w:num w:numId="14" w16cid:durableId="1380516340">
    <w:abstractNumId w:val="5"/>
  </w:num>
  <w:num w:numId="15" w16cid:durableId="72436542">
    <w:abstractNumId w:val="20"/>
  </w:num>
  <w:num w:numId="16" w16cid:durableId="547645279">
    <w:abstractNumId w:val="1"/>
  </w:num>
  <w:num w:numId="17" w16cid:durableId="1290210623">
    <w:abstractNumId w:val="8"/>
  </w:num>
  <w:num w:numId="18" w16cid:durableId="1364208400">
    <w:abstractNumId w:val="13"/>
  </w:num>
  <w:num w:numId="19" w16cid:durableId="2119181561">
    <w:abstractNumId w:val="6"/>
  </w:num>
  <w:num w:numId="20" w16cid:durableId="63452392">
    <w:abstractNumId w:val="15"/>
  </w:num>
  <w:num w:numId="21" w16cid:durableId="16076945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30"/>
    <w:rsid w:val="000039D9"/>
    <w:rsid w:val="00016D7A"/>
    <w:rsid w:val="00083E1E"/>
    <w:rsid w:val="00181B97"/>
    <w:rsid w:val="002831F1"/>
    <w:rsid w:val="002C5817"/>
    <w:rsid w:val="00335B0A"/>
    <w:rsid w:val="003736F6"/>
    <w:rsid w:val="003E3885"/>
    <w:rsid w:val="005128C3"/>
    <w:rsid w:val="005622B6"/>
    <w:rsid w:val="006065D3"/>
    <w:rsid w:val="0069548F"/>
    <w:rsid w:val="006D70D8"/>
    <w:rsid w:val="00797ECC"/>
    <w:rsid w:val="007F2667"/>
    <w:rsid w:val="0084600C"/>
    <w:rsid w:val="00912101"/>
    <w:rsid w:val="0092030B"/>
    <w:rsid w:val="009553CB"/>
    <w:rsid w:val="00A27FDC"/>
    <w:rsid w:val="00A61B21"/>
    <w:rsid w:val="00A90251"/>
    <w:rsid w:val="00AA3930"/>
    <w:rsid w:val="00AF5C7E"/>
    <w:rsid w:val="00B16395"/>
    <w:rsid w:val="00B25680"/>
    <w:rsid w:val="00B71B93"/>
    <w:rsid w:val="00B9568B"/>
    <w:rsid w:val="00BC3889"/>
    <w:rsid w:val="00C01038"/>
    <w:rsid w:val="00C17446"/>
    <w:rsid w:val="00C20E85"/>
    <w:rsid w:val="00C33E4A"/>
    <w:rsid w:val="00C36B15"/>
    <w:rsid w:val="00C7375D"/>
    <w:rsid w:val="00D12EA5"/>
    <w:rsid w:val="00D25684"/>
    <w:rsid w:val="00D8754F"/>
    <w:rsid w:val="00E3449B"/>
    <w:rsid w:val="00E5186C"/>
    <w:rsid w:val="00ED15B2"/>
    <w:rsid w:val="00EE0E83"/>
    <w:rsid w:val="00EF5543"/>
    <w:rsid w:val="00F35CC3"/>
    <w:rsid w:val="00F403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62BA3"/>
  <w15:chartTrackingRefBased/>
  <w15:docId w15:val="{E8942344-C8AC-2147-B513-0F518AB7A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39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39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A39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39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39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39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39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39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39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9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39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A39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39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39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39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39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39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3930"/>
    <w:rPr>
      <w:rFonts w:eastAsiaTheme="majorEastAsia" w:cstheme="majorBidi"/>
      <w:color w:val="272727" w:themeColor="text1" w:themeTint="D8"/>
    </w:rPr>
  </w:style>
  <w:style w:type="paragraph" w:styleId="Title">
    <w:name w:val="Title"/>
    <w:basedOn w:val="Normal"/>
    <w:next w:val="Normal"/>
    <w:link w:val="TitleChar"/>
    <w:uiPriority w:val="10"/>
    <w:qFormat/>
    <w:rsid w:val="00AA39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9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39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39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3930"/>
    <w:pPr>
      <w:spacing w:before="160"/>
      <w:jc w:val="center"/>
    </w:pPr>
    <w:rPr>
      <w:i/>
      <w:iCs/>
      <w:color w:val="404040" w:themeColor="text1" w:themeTint="BF"/>
    </w:rPr>
  </w:style>
  <w:style w:type="character" w:customStyle="1" w:styleId="QuoteChar">
    <w:name w:val="Quote Char"/>
    <w:basedOn w:val="DefaultParagraphFont"/>
    <w:link w:val="Quote"/>
    <w:uiPriority w:val="29"/>
    <w:rsid w:val="00AA3930"/>
    <w:rPr>
      <w:i/>
      <w:iCs/>
      <w:color w:val="404040" w:themeColor="text1" w:themeTint="BF"/>
    </w:rPr>
  </w:style>
  <w:style w:type="paragraph" w:styleId="ListParagraph">
    <w:name w:val="List Paragraph"/>
    <w:basedOn w:val="Normal"/>
    <w:uiPriority w:val="34"/>
    <w:qFormat/>
    <w:rsid w:val="00AA3930"/>
    <w:pPr>
      <w:ind w:left="720"/>
      <w:contextualSpacing/>
    </w:pPr>
  </w:style>
  <w:style w:type="character" w:styleId="IntenseEmphasis">
    <w:name w:val="Intense Emphasis"/>
    <w:basedOn w:val="DefaultParagraphFont"/>
    <w:uiPriority w:val="21"/>
    <w:qFormat/>
    <w:rsid w:val="00AA3930"/>
    <w:rPr>
      <w:i/>
      <w:iCs/>
      <w:color w:val="0F4761" w:themeColor="accent1" w:themeShade="BF"/>
    </w:rPr>
  </w:style>
  <w:style w:type="paragraph" w:styleId="IntenseQuote">
    <w:name w:val="Intense Quote"/>
    <w:basedOn w:val="Normal"/>
    <w:next w:val="Normal"/>
    <w:link w:val="IntenseQuoteChar"/>
    <w:uiPriority w:val="30"/>
    <w:qFormat/>
    <w:rsid w:val="00AA39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3930"/>
    <w:rPr>
      <w:i/>
      <w:iCs/>
      <w:color w:val="0F4761" w:themeColor="accent1" w:themeShade="BF"/>
    </w:rPr>
  </w:style>
  <w:style w:type="character" w:styleId="IntenseReference">
    <w:name w:val="Intense Reference"/>
    <w:basedOn w:val="DefaultParagraphFont"/>
    <w:uiPriority w:val="32"/>
    <w:qFormat/>
    <w:rsid w:val="00AA3930"/>
    <w:rPr>
      <w:b/>
      <w:bCs/>
      <w:smallCaps/>
      <w:color w:val="0F4761" w:themeColor="accent1" w:themeShade="BF"/>
      <w:spacing w:val="5"/>
    </w:rPr>
  </w:style>
  <w:style w:type="character" w:styleId="Hyperlink">
    <w:name w:val="Hyperlink"/>
    <w:basedOn w:val="DefaultParagraphFont"/>
    <w:uiPriority w:val="99"/>
    <w:unhideWhenUsed/>
    <w:rsid w:val="00A90251"/>
    <w:rPr>
      <w:color w:val="467886" w:themeColor="hyperlink"/>
      <w:u w:val="single"/>
    </w:rPr>
  </w:style>
  <w:style w:type="character" w:styleId="UnresolvedMention">
    <w:name w:val="Unresolved Mention"/>
    <w:basedOn w:val="DefaultParagraphFont"/>
    <w:uiPriority w:val="99"/>
    <w:semiHidden/>
    <w:unhideWhenUsed/>
    <w:rsid w:val="00A90251"/>
    <w:rPr>
      <w:color w:val="605E5C"/>
      <w:shd w:val="clear" w:color="auto" w:fill="E1DFDD"/>
    </w:rPr>
  </w:style>
  <w:style w:type="paragraph" w:styleId="NormalWeb">
    <w:name w:val="Normal (Web)"/>
    <w:basedOn w:val="Normal"/>
    <w:uiPriority w:val="99"/>
    <w:unhideWhenUsed/>
    <w:rsid w:val="003E3885"/>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3E3885"/>
    <w:rPr>
      <w:b/>
      <w:bCs/>
    </w:rPr>
  </w:style>
  <w:style w:type="character" w:styleId="FollowedHyperlink">
    <w:name w:val="FollowedHyperlink"/>
    <w:basedOn w:val="DefaultParagraphFont"/>
    <w:uiPriority w:val="99"/>
    <w:semiHidden/>
    <w:unhideWhenUsed/>
    <w:rsid w:val="003E3885"/>
    <w:rPr>
      <w:color w:val="96607D" w:themeColor="followedHyperlink"/>
      <w:u w:val="single"/>
    </w:rPr>
  </w:style>
  <w:style w:type="paragraph" w:styleId="Caption">
    <w:name w:val="caption"/>
    <w:basedOn w:val="Normal"/>
    <w:next w:val="Normal"/>
    <w:uiPriority w:val="35"/>
    <w:unhideWhenUsed/>
    <w:qFormat/>
    <w:rsid w:val="006D70D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98533">
      <w:bodyDiv w:val="1"/>
      <w:marLeft w:val="0"/>
      <w:marRight w:val="0"/>
      <w:marTop w:val="0"/>
      <w:marBottom w:val="0"/>
      <w:divBdr>
        <w:top w:val="none" w:sz="0" w:space="0" w:color="auto"/>
        <w:left w:val="none" w:sz="0" w:space="0" w:color="auto"/>
        <w:bottom w:val="none" w:sz="0" w:space="0" w:color="auto"/>
        <w:right w:val="none" w:sz="0" w:space="0" w:color="auto"/>
      </w:divBdr>
    </w:div>
    <w:div w:id="157383357">
      <w:bodyDiv w:val="1"/>
      <w:marLeft w:val="0"/>
      <w:marRight w:val="0"/>
      <w:marTop w:val="0"/>
      <w:marBottom w:val="0"/>
      <w:divBdr>
        <w:top w:val="none" w:sz="0" w:space="0" w:color="auto"/>
        <w:left w:val="none" w:sz="0" w:space="0" w:color="auto"/>
        <w:bottom w:val="none" w:sz="0" w:space="0" w:color="auto"/>
        <w:right w:val="none" w:sz="0" w:space="0" w:color="auto"/>
      </w:divBdr>
    </w:div>
    <w:div w:id="256790603">
      <w:bodyDiv w:val="1"/>
      <w:marLeft w:val="0"/>
      <w:marRight w:val="0"/>
      <w:marTop w:val="0"/>
      <w:marBottom w:val="0"/>
      <w:divBdr>
        <w:top w:val="none" w:sz="0" w:space="0" w:color="auto"/>
        <w:left w:val="none" w:sz="0" w:space="0" w:color="auto"/>
        <w:bottom w:val="none" w:sz="0" w:space="0" w:color="auto"/>
        <w:right w:val="none" w:sz="0" w:space="0" w:color="auto"/>
      </w:divBdr>
    </w:div>
    <w:div w:id="271862277">
      <w:bodyDiv w:val="1"/>
      <w:marLeft w:val="0"/>
      <w:marRight w:val="0"/>
      <w:marTop w:val="0"/>
      <w:marBottom w:val="0"/>
      <w:divBdr>
        <w:top w:val="none" w:sz="0" w:space="0" w:color="auto"/>
        <w:left w:val="none" w:sz="0" w:space="0" w:color="auto"/>
        <w:bottom w:val="none" w:sz="0" w:space="0" w:color="auto"/>
        <w:right w:val="none" w:sz="0" w:space="0" w:color="auto"/>
      </w:divBdr>
    </w:div>
    <w:div w:id="423114912">
      <w:bodyDiv w:val="1"/>
      <w:marLeft w:val="0"/>
      <w:marRight w:val="0"/>
      <w:marTop w:val="0"/>
      <w:marBottom w:val="0"/>
      <w:divBdr>
        <w:top w:val="none" w:sz="0" w:space="0" w:color="auto"/>
        <w:left w:val="none" w:sz="0" w:space="0" w:color="auto"/>
        <w:bottom w:val="none" w:sz="0" w:space="0" w:color="auto"/>
        <w:right w:val="none" w:sz="0" w:space="0" w:color="auto"/>
      </w:divBdr>
    </w:div>
    <w:div w:id="459081740">
      <w:bodyDiv w:val="1"/>
      <w:marLeft w:val="0"/>
      <w:marRight w:val="0"/>
      <w:marTop w:val="0"/>
      <w:marBottom w:val="0"/>
      <w:divBdr>
        <w:top w:val="none" w:sz="0" w:space="0" w:color="auto"/>
        <w:left w:val="none" w:sz="0" w:space="0" w:color="auto"/>
        <w:bottom w:val="none" w:sz="0" w:space="0" w:color="auto"/>
        <w:right w:val="none" w:sz="0" w:space="0" w:color="auto"/>
      </w:divBdr>
    </w:div>
    <w:div w:id="490605109">
      <w:bodyDiv w:val="1"/>
      <w:marLeft w:val="0"/>
      <w:marRight w:val="0"/>
      <w:marTop w:val="0"/>
      <w:marBottom w:val="0"/>
      <w:divBdr>
        <w:top w:val="none" w:sz="0" w:space="0" w:color="auto"/>
        <w:left w:val="none" w:sz="0" w:space="0" w:color="auto"/>
        <w:bottom w:val="none" w:sz="0" w:space="0" w:color="auto"/>
        <w:right w:val="none" w:sz="0" w:space="0" w:color="auto"/>
      </w:divBdr>
    </w:div>
    <w:div w:id="495614353">
      <w:bodyDiv w:val="1"/>
      <w:marLeft w:val="0"/>
      <w:marRight w:val="0"/>
      <w:marTop w:val="0"/>
      <w:marBottom w:val="0"/>
      <w:divBdr>
        <w:top w:val="none" w:sz="0" w:space="0" w:color="auto"/>
        <w:left w:val="none" w:sz="0" w:space="0" w:color="auto"/>
        <w:bottom w:val="none" w:sz="0" w:space="0" w:color="auto"/>
        <w:right w:val="none" w:sz="0" w:space="0" w:color="auto"/>
      </w:divBdr>
    </w:div>
    <w:div w:id="532226446">
      <w:bodyDiv w:val="1"/>
      <w:marLeft w:val="0"/>
      <w:marRight w:val="0"/>
      <w:marTop w:val="0"/>
      <w:marBottom w:val="0"/>
      <w:divBdr>
        <w:top w:val="none" w:sz="0" w:space="0" w:color="auto"/>
        <w:left w:val="none" w:sz="0" w:space="0" w:color="auto"/>
        <w:bottom w:val="none" w:sz="0" w:space="0" w:color="auto"/>
        <w:right w:val="none" w:sz="0" w:space="0" w:color="auto"/>
      </w:divBdr>
    </w:div>
    <w:div w:id="640353543">
      <w:bodyDiv w:val="1"/>
      <w:marLeft w:val="0"/>
      <w:marRight w:val="0"/>
      <w:marTop w:val="0"/>
      <w:marBottom w:val="0"/>
      <w:divBdr>
        <w:top w:val="none" w:sz="0" w:space="0" w:color="auto"/>
        <w:left w:val="none" w:sz="0" w:space="0" w:color="auto"/>
        <w:bottom w:val="none" w:sz="0" w:space="0" w:color="auto"/>
        <w:right w:val="none" w:sz="0" w:space="0" w:color="auto"/>
      </w:divBdr>
    </w:div>
    <w:div w:id="712001633">
      <w:bodyDiv w:val="1"/>
      <w:marLeft w:val="0"/>
      <w:marRight w:val="0"/>
      <w:marTop w:val="0"/>
      <w:marBottom w:val="0"/>
      <w:divBdr>
        <w:top w:val="none" w:sz="0" w:space="0" w:color="auto"/>
        <w:left w:val="none" w:sz="0" w:space="0" w:color="auto"/>
        <w:bottom w:val="none" w:sz="0" w:space="0" w:color="auto"/>
        <w:right w:val="none" w:sz="0" w:space="0" w:color="auto"/>
      </w:divBdr>
    </w:div>
    <w:div w:id="723020518">
      <w:bodyDiv w:val="1"/>
      <w:marLeft w:val="0"/>
      <w:marRight w:val="0"/>
      <w:marTop w:val="0"/>
      <w:marBottom w:val="0"/>
      <w:divBdr>
        <w:top w:val="none" w:sz="0" w:space="0" w:color="auto"/>
        <w:left w:val="none" w:sz="0" w:space="0" w:color="auto"/>
        <w:bottom w:val="none" w:sz="0" w:space="0" w:color="auto"/>
        <w:right w:val="none" w:sz="0" w:space="0" w:color="auto"/>
      </w:divBdr>
    </w:div>
    <w:div w:id="733968753">
      <w:bodyDiv w:val="1"/>
      <w:marLeft w:val="0"/>
      <w:marRight w:val="0"/>
      <w:marTop w:val="0"/>
      <w:marBottom w:val="0"/>
      <w:divBdr>
        <w:top w:val="none" w:sz="0" w:space="0" w:color="auto"/>
        <w:left w:val="none" w:sz="0" w:space="0" w:color="auto"/>
        <w:bottom w:val="none" w:sz="0" w:space="0" w:color="auto"/>
        <w:right w:val="none" w:sz="0" w:space="0" w:color="auto"/>
      </w:divBdr>
    </w:div>
    <w:div w:id="772481337">
      <w:bodyDiv w:val="1"/>
      <w:marLeft w:val="0"/>
      <w:marRight w:val="0"/>
      <w:marTop w:val="0"/>
      <w:marBottom w:val="0"/>
      <w:divBdr>
        <w:top w:val="none" w:sz="0" w:space="0" w:color="auto"/>
        <w:left w:val="none" w:sz="0" w:space="0" w:color="auto"/>
        <w:bottom w:val="none" w:sz="0" w:space="0" w:color="auto"/>
        <w:right w:val="none" w:sz="0" w:space="0" w:color="auto"/>
      </w:divBdr>
    </w:div>
    <w:div w:id="854226009">
      <w:bodyDiv w:val="1"/>
      <w:marLeft w:val="0"/>
      <w:marRight w:val="0"/>
      <w:marTop w:val="0"/>
      <w:marBottom w:val="0"/>
      <w:divBdr>
        <w:top w:val="none" w:sz="0" w:space="0" w:color="auto"/>
        <w:left w:val="none" w:sz="0" w:space="0" w:color="auto"/>
        <w:bottom w:val="none" w:sz="0" w:space="0" w:color="auto"/>
        <w:right w:val="none" w:sz="0" w:space="0" w:color="auto"/>
      </w:divBdr>
    </w:div>
    <w:div w:id="952173520">
      <w:bodyDiv w:val="1"/>
      <w:marLeft w:val="0"/>
      <w:marRight w:val="0"/>
      <w:marTop w:val="0"/>
      <w:marBottom w:val="0"/>
      <w:divBdr>
        <w:top w:val="none" w:sz="0" w:space="0" w:color="auto"/>
        <w:left w:val="none" w:sz="0" w:space="0" w:color="auto"/>
        <w:bottom w:val="none" w:sz="0" w:space="0" w:color="auto"/>
        <w:right w:val="none" w:sz="0" w:space="0" w:color="auto"/>
      </w:divBdr>
    </w:div>
    <w:div w:id="1017586025">
      <w:bodyDiv w:val="1"/>
      <w:marLeft w:val="0"/>
      <w:marRight w:val="0"/>
      <w:marTop w:val="0"/>
      <w:marBottom w:val="0"/>
      <w:divBdr>
        <w:top w:val="none" w:sz="0" w:space="0" w:color="auto"/>
        <w:left w:val="none" w:sz="0" w:space="0" w:color="auto"/>
        <w:bottom w:val="none" w:sz="0" w:space="0" w:color="auto"/>
        <w:right w:val="none" w:sz="0" w:space="0" w:color="auto"/>
      </w:divBdr>
    </w:div>
    <w:div w:id="1025643063">
      <w:bodyDiv w:val="1"/>
      <w:marLeft w:val="0"/>
      <w:marRight w:val="0"/>
      <w:marTop w:val="0"/>
      <w:marBottom w:val="0"/>
      <w:divBdr>
        <w:top w:val="none" w:sz="0" w:space="0" w:color="auto"/>
        <w:left w:val="none" w:sz="0" w:space="0" w:color="auto"/>
        <w:bottom w:val="none" w:sz="0" w:space="0" w:color="auto"/>
        <w:right w:val="none" w:sz="0" w:space="0" w:color="auto"/>
      </w:divBdr>
    </w:div>
    <w:div w:id="1035422093">
      <w:bodyDiv w:val="1"/>
      <w:marLeft w:val="0"/>
      <w:marRight w:val="0"/>
      <w:marTop w:val="0"/>
      <w:marBottom w:val="0"/>
      <w:divBdr>
        <w:top w:val="none" w:sz="0" w:space="0" w:color="auto"/>
        <w:left w:val="none" w:sz="0" w:space="0" w:color="auto"/>
        <w:bottom w:val="none" w:sz="0" w:space="0" w:color="auto"/>
        <w:right w:val="none" w:sz="0" w:space="0" w:color="auto"/>
      </w:divBdr>
    </w:div>
    <w:div w:id="1037704463">
      <w:bodyDiv w:val="1"/>
      <w:marLeft w:val="0"/>
      <w:marRight w:val="0"/>
      <w:marTop w:val="0"/>
      <w:marBottom w:val="0"/>
      <w:divBdr>
        <w:top w:val="none" w:sz="0" w:space="0" w:color="auto"/>
        <w:left w:val="none" w:sz="0" w:space="0" w:color="auto"/>
        <w:bottom w:val="none" w:sz="0" w:space="0" w:color="auto"/>
        <w:right w:val="none" w:sz="0" w:space="0" w:color="auto"/>
      </w:divBdr>
    </w:div>
    <w:div w:id="1045444085">
      <w:bodyDiv w:val="1"/>
      <w:marLeft w:val="0"/>
      <w:marRight w:val="0"/>
      <w:marTop w:val="0"/>
      <w:marBottom w:val="0"/>
      <w:divBdr>
        <w:top w:val="none" w:sz="0" w:space="0" w:color="auto"/>
        <w:left w:val="none" w:sz="0" w:space="0" w:color="auto"/>
        <w:bottom w:val="none" w:sz="0" w:space="0" w:color="auto"/>
        <w:right w:val="none" w:sz="0" w:space="0" w:color="auto"/>
      </w:divBdr>
      <w:divsChild>
        <w:div w:id="1739934770">
          <w:marLeft w:val="29"/>
          <w:marRight w:val="29"/>
          <w:marTop w:val="0"/>
          <w:marBottom w:val="0"/>
          <w:divBdr>
            <w:top w:val="none" w:sz="0" w:space="0" w:color="auto"/>
            <w:left w:val="none" w:sz="0" w:space="0" w:color="auto"/>
            <w:bottom w:val="none" w:sz="0" w:space="0" w:color="auto"/>
            <w:right w:val="none" w:sz="0" w:space="0" w:color="auto"/>
          </w:divBdr>
        </w:div>
      </w:divsChild>
    </w:div>
    <w:div w:id="1096747763">
      <w:bodyDiv w:val="1"/>
      <w:marLeft w:val="0"/>
      <w:marRight w:val="0"/>
      <w:marTop w:val="0"/>
      <w:marBottom w:val="0"/>
      <w:divBdr>
        <w:top w:val="none" w:sz="0" w:space="0" w:color="auto"/>
        <w:left w:val="none" w:sz="0" w:space="0" w:color="auto"/>
        <w:bottom w:val="none" w:sz="0" w:space="0" w:color="auto"/>
        <w:right w:val="none" w:sz="0" w:space="0" w:color="auto"/>
      </w:divBdr>
    </w:div>
    <w:div w:id="1111821908">
      <w:bodyDiv w:val="1"/>
      <w:marLeft w:val="0"/>
      <w:marRight w:val="0"/>
      <w:marTop w:val="0"/>
      <w:marBottom w:val="0"/>
      <w:divBdr>
        <w:top w:val="none" w:sz="0" w:space="0" w:color="auto"/>
        <w:left w:val="none" w:sz="0" w:space="0" w:color="auto"/>
        <w:bottom w:val="none" w:sz="0" w:space="0" w:color="auto"/>
        <w:right w:val="none" w:sz="0" w:space="0" w:color="auto"/>
      </w:divBdr>
    </w:div>
    <w:div w:id="1116410745">
      <w:bodyDiv w:val="1"/>
      <w:marLeft w:val="0"/>
      <w:marRight w:val="0"/>
      <w:marTop w:val="0"/>
      <w:marBottom w:val="0"/>
      <w:divBdr>
        <w:top w:val="none" w:sz="0" w:space="0" w:color="auto"/>
        <w:left w:val="none" w:sz="0" w:space="0" w:color="auto"/>
        <w:bottom w:val="none" w:sz="0" w:space="0" w:color="auto"/>
        <w:right w:val="none" w:sz="0" w:space="0" w:color="auto"/>
      </w:divBdr>
    </w:div>
    <w:div w:id="1158570549">
      <w:bodyDiv w:val="1"/>
      <w:marLeft w:val="0"/>
      <w:marRight w:val="0"/>
      <w:marTop w:val="0"/>
      <w:marBottom w:val="0"/>
      <w:divBdr>
        <w:top w:val="none" w:sz="0" w:space="0" w:color="auto"/>
        <w:left w:val="none" w:sz="0" w:space="0" w:color="auto"/>
        <w:bottom w:val="none" w:sz="0" w:space="0" w:color="auto"/>
        <w:right w:val="none" w:sz="0" w:space="0" w:color="auto"/>
      </w:divBdr>
    </w:div>
    <w:div w:id="1177963630">
      <w:bodyDiv w:val="1"/>
      <w:marLeft w:val="0"/>
      <w:marRight w:val="0"/>
      <w:marTop w:val="0"/>
      <w:marBottom w:val="0"/>
      <w:divBdr>
        <w:top w:val="none" w:sz="0" w:space="0" w:color="auto"/>
        <w:left w:val="none" w:sz="0" w:space="0" w:color="auto"/>
        <w:bottom w:val="none" w:sz="0" w:space="0" w:color="auto"/>
        <w:right w:val="none" w:sz="0" w:space="0" w:color="auto"/>
      </w:divBdr>
    </w:div>
    <w:div w:id="1298871710">
      <w:bodyDiv w:val="1"/>
      <w:marLeft w:val="0"/>
      <w:marRight w:val="0"/>
      <w:marTop w:val="0"/>
      <w:marBottom w:val="0"/>
      <w:divBdr>
        <w:top w:val="none" w:sz="0" w:space="0" w:color="auto"/>
        <w:left w:val="none" w:sz="0" w:space="0" w:color="auto"/>
        <w:bottom w:val="none" w:sz="0" w:space="0" w:color="auto"/>
        <w:right w:val="none" w:sz="0" w:space="0" w:color="auto"/>
      </w:divBdr>
    </w:div>
    <w:div w:id="1492139721">
      <w:bodyDiv w:val="1"/>
      <w:marLeft w:val="0"/>
      <w:marRight w:val="0"/>
      <w:marTop w:val="0"/>
      <w:marBottom w:val="0"/>
      <w:divBdr>
        <w:top w:val="none" w:sz="0" w:space="0" w:color="auto"/>
        <w:left w:val="none" w:sz="0" w:space="0" w:color="auto"/>
        <w:bottom w:val="none" w:sz="0" w:space="0" w:color="auto"/>
        <w:right w:val="none" w:sz="0" w:space="0" w:color="auto"/>
      </w:divBdr>
    </w:div>
    <w:div w:id="1518811322">
      <w:bodyDiv w:val="1"/>
      <w:marLeft w:val="0"/>
      <w:marRight w:val="0"/>
      <w:marTop w:val="0"/>
      <w:marBottom w:val="0"/>
      <w:divBdr>
        <w:top w:val="none" w:sz="0" w:space="0" w:color="auto"/>
        <w:left w:val="none" w:sz="0" w:space="0" w:color="auto"/>
        <w:bottom w:val="none" w:sz="0" w:space="0" w:color="auto"/>
        <w:right w:val="none" w:sz="0" w:space="0" w:color="auto"/>
      </w:divBdr>
    </w:div>
    <w:div w:id="1547838727">
      <w:bodyDiv w:val="1"/>
      <w:marLeft w:val="0"/>
      <w:marRight w:val="0"/>
      <w:marTop w:val="0"/>
      <w:marBottom w:val="0"/>
      <w:divBdr>
        <w:top w:val="none" w:sz="0" w:space="0" w:color="auto"/>
        <w:left w:val="none" w:sz="0" w:space="0" w:color="auto"/>
        <w:bottom w:val="none" w:sz="0" w:space="0" w:color="auto"/>
        <w:right w:val="none" w:sz="0" w:space="0" w:color="auto"/>
      </w:divBdr>
    </w:div>
    <w:div w:id="1619754005">
      <w:bodyDiv w:val="1"/>
      <w:marLeft w:val="0"/>
      <w:marRight w:val="0"/>
      <w:marTop w:val="0"/>
      <w:marBottom w:val="0"/>
      <w:divBdr>
        <w:top w:val="none" w:sz="0" w:space="0" w:color="auto"/>
        <w:left w:val="none" w:sz="0" w:space="0" w:color="auto"/>
        <w:bottom w:val="none" w:sz="0" w:space="0" w:color="auto"/>
        <w:right w:val="none" w:sz="0" w:space="0" w:color="auto"/>
      </w:divBdr>
    </w:div>
    <w:div w:id="1702363487">
      <w:bodyDiv w:val="1"/>
      <w:marLeft w:val="0"/>
      <w:marRight w:val="0"/>
      <w:marTop w:val="0"/>
      <w:marBottom w:val="0"/>
      <w:divBdr>
        <w:top w:val="none" w:sz="0" w:space="0" w:color="auto"/>
        <w:left w:val="none" w:sz="0" w:space="0" w:color="auto"/>
        <w:bottom w:val="none" w:sz="0" w:space="0" w:color="auto"/>
        <w:right w:val="none" w:sz="0" w:space="0" w:color="auto"/>
      </w:divBdr>
    </w:div>
    <w:div w:id="1743260005">
      <w:bodyDiv w:val="1"/>
      <w:marLeft w:val="0"/>
      <w:marRight w:val="0"/>
      <w:marTop w:val="0"/>
      <w:marBottom w:val="0"/>
      <w:divBdr>
        <w:top w:val="none" w:sz="0" w:space="0" w:color="auto"/>
        <w:left w:val="none" w:sz="0" w:space="0" w:color="auto"/>
        <w:bottom w:val="none" w:sz="0" w:space="0" w:color="auto"/>
        <w:right w:val="none" w:sz="0" w:space="0" w:color="auto"/>
      </w:divBdr>
    </w:div>
    <w:div w:id="1749418967">
      <w:bodyDiv w:val="1"/>
      <w:marLeft w:val="0"/>
      <w:marRight w:val="0"/>
      <w:marTop w:val="0"/>
      <w:marBottom w:val="0"/>
      <w:divBdr>
        <w:top w:val="none" w:sz="0" w:space="0" w:color="auto"/>
        <w:left w:val="none" w:sz="0" w:space="0" w:color="auto"/>
        <w:bottom w:val="none" w:sz="0" w:space="0" w:color="auto"/>
        <w:right w:val="none" w:sz="0" w:space="0" w:color="auto"/>
      </w:divBdr>
    </w:div>
    <w:div w:id="1856649406">
      <w:bodyDiv w:val="1"/>
      <w:marLeft w:val="0"/>
      <w:marRight w:val="0"/>
      <w:marTop w:val="0"/>
      <w:marBottom w:val="0"/>
      <w:divBdr>
        <w:top w:val="none" w:sz="0" w:space="0" w:color="auto"/>
        <w:left w:val="none" w:sz="0" w:space="0" w:color="auto"/>
        <w:bottom w:val="none" w:sz="0" w:space="0" w:color="auto"/>
        <w:right w:val="none" w:sz="0" w:space="0" w:color="auto"/>
      </w:divBdr>
    </w:div>
    <w:div w:id="1920630436">
      <w:bodyDiv w:val="1"/>
      <w:marLeft w:val="0"/>
      <w:marRight w:val="0"/>
      <w:marTop w:val="0"/>
      <w:marBottom w:val="0"/>
      <w:divBdr>
        <w:top w:val="none" w:sz="0" w:space="0" w:color="auto"/>
        <w:left w:val="none" w:sz="0" w:space="0" w:color="auto"/>
        <w:bottom w:val="none" w:sz="0" w:space="0" w:color="auto"/>
        <w:right w:val="none" w:sz="0" w:space="0" w:color="auto"/>
      </w:divBdr>
    </w:div>
    <w:div w:id="1939286270">
      <w:bodyDiv w:val="1"/>
      <w:marLeft w:val="0"/>
      <w:marRight w:val="0"/>
      <w:marTop w:val="0"/>
      <w:marBottom w:val="0"/>
      <w:divBdr>
        <w:top w:val="none" w:sz="0" w:space="0" w:color="auto"/>
        <w:left w:val="none" w:sz="0" w:space="0" w:color="auto"/>
        <w:bottom w:val="none" w:sz="0" w:space="0" w:color="auto"/>
        <w:right w:val="none" w:sz="0" w:space="0" w:color="auto"/>
      </w:divBdr>
    </w:div>
    <w:div w:id="2030371825">
      <w:bodyDiv w:val="1"/>
      <w:marLeft w:val="0"/>
      <w:marRight w:val="0"/>
      <w:marTop w:val="0"/>
      <w:marBottom w:val="0"/>
      <w:divBdr>
        <w:top w:val="none" w:sz="0" w:space="0" w:color="auto"/>
        <w:left w:val="none" w:sz="0" w:space="0" w:color="auto"/>
        <w:bottom w:val="none" w:sz="0" w:space="0" w:color="auto"/>
        <w:right w:val="none" w:sz="0" w:space="0" w:color="auto"/>
      </w:divBdr>
    </w:div>
    <w:div w:id="2108117254">
      <w:bodyDiv w:val="1"/>
      <w:marLeft w:val="0"/>
      <w:marRight w:val="0"/>
      <w:marTop w:val="0"/>
      <w:marBottom w:val="0"/>
      <w:divBdr>
        <w:top w:val="none" w:sz="0" w:space="0" w:color="auto"/>
        <w:left w:val="none" w:sz="0" w:space="0" w:color="auto"/>
        <w:bottom w:val="none" w:sz="0" w:space="0" w:color="auto"/>
        <w:right w:val="none" w:sz="0" w:space="0" w:color="auto"/>
      </w:divBdr>
      <w:divsChild>
        <w:div w:id="1661883304">
          <w:marLeft w:val="0"/>
          <w:marRight w:val="0"/>
          <w:marTop w:val="0"/>
          <w:marBottom w:val="0"/>
          <w:divBdr>
            <w:top w:val="none" w:sz="0" w:space="0" w:color="auto"/>
            <w:left w:val="none" w:sz="0" w:space="0" w:color="auto"/>
            <w:bottom w:val="none" w:sz="0" w:space="0" w:color="auto"/>
            <w:right w:val="none" w:sz="0" w:space="0" w:color="auto"/>
          </w:divBdr>
          <w:divsChild>
            <w:div w:id="2086756948">
              <w:marLeft w:val="0"/>
              <w:marRight w:val="0"/>
              <w:marTop w:val="0"/>
              <w:marBottom w:val="0"/>
              <w:divBdr>
                <w:top w:val="none" w:sz="0" w:space="0" w:color="auto"/>
                <w:left w:val="none" w:sz="0" w:space="0" w:color="auto"/>
                <w:bottom w:val="none" w:sz="0" w:space="0" w:color="auto"/>
                <w:right w:val="none" w:sz="0" w:space="0" w:color="auto"/>
              </w:divBdr>
              <w:divsChild>
                <w:div w:id="1886482360">
                  <w:marLeft w:val="0"/>
                  <w:marRight w:val="0"/>
                  <w:marTop w:val="0"/>
                  <w:marBottom w:val="0"/>
                  <w:divBdr>
                    <w:top w:val="none" w:sz="0" w:space="0" w:color="auto"/>
                    <w:left w:val="none" w:sz="0" w:space="0" w:color="auto"/>
                    <w:bottom w:val="none" w:sz="0" w:space="0" w:color="auto"/>
                    <w:right w:val="none" w:sz="0" w:space="0" w:color="auto"/>
                  </w:divBdr>
                  <w:divsChild>
                    <w:div w:id="11808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00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ibm.com/products/flashsystem-7300?utm_content=SRCWW&amp;p1=Search&amp;p4=43700075678987577&amp;p5=e&amp;p9=58700008323816483&amp;gbraid=0AAAAAD-_QsTOM6MoYBAqT6sjdTJDJtf-F&amp;gclid=EAIaIQobChMIwsaVzvy4iQMVkzQIBR27BSQAEAAYASAAEgKnSfD_BwE&amp;gclsrc=aw.ds" TargetMode="External"/><Relationship Id="rId15" Type="http://schemas.openxmlformats.org/officeDocument/2006/relationships/hyperlink" Target="mailto:jfitzge@us.ibm.com" TargetMode="External"/><Relationship Id="rId10" Type="http://schemas.openxmlformats.org/officeDocument/2006/relationships/hyperlink" Target="https://www.ibm.com/support/pages/system/files/inline-files/DB2%20Warehouse%20Deployment%20Guide%20Power%2010%20(V1)%20.pdf" TargetMode="External"/><Relationship Id="rId4" Type="http://schemas.openxmlformats.org/officeDocument/2006/relationships/webSettings" Target="webSettings.xml"/><Relationship Id="rId9" Type="http://schemas.openxmlformats.org/officeDocument/2006/relationships/hyperlink" Target="https://www.ibm.com/docs/en/db2-bridge?topic=db2-bridge" TargetMode="External"/><Relationship Id="rId14" Type="http://schemas.openxmlformats.org/officeDocument/2006/relationships/hyperlink" Target="mailto:aslam@ca.i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1578</Words>
  <Characters>8999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Aslam Nomani</dc:creator>
  <cp:keywords/>
  <dc:description/>
  <cp:lastModifiedBy>JANA WONG</cp:lastModifiedBy>
  <cp:revision>2</cp:revision>
  <dcterms:created xsi:type="dcterms:W3CDTF">2025-03-07T00:24:00Z</dcterms:created>
  <dcterms:modified xsi:type="dcterms:W3CDTF">2025-03-07T00:24:00Z</dcterms:modified>
</cp:coreProperties>
</file>