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B9A3" w14:textId="2B28CB2B" w:rsidR="00AC20FD" w:rsidRPr="0000756C" w:rsidRDefault="00AC20FD" w:rsidP="006621A9">
      <w:pPr>
        <w:pStyle w:val="Heading1"/>
        <w:spacing w:before="0" w:afterLines="40" w:after="96"/>
        <w:rPr>
          <w:rFonts w:ascii="IBM Plex Sans Light" w:hAnsi="IBM Plex Sans Light"/>
          <w:i/>
          <w:iCs/>
        </w:rPr>
      </w:pPr>
      <w:r w:rsidRPr="0000756C">
        <w:rPr>
          <w:rFonts w:ascii="IBM Plex Sans SemiBold" w:hAnsi="IBM Plex Sans SemiBold"/>
          <w:b/>
          <w:bCs/>
          <w:sz w:val="44"/>
          <w:szCs w:val="44"/>
        </w:rPr>
        <w:t>Automation Sales Guidance</w:t>
      </w:r>
      <w:r>
        <w:rPr>
          <w:rFonts w:ascii="IBM Plex Sans SemiBold" w:hAnsi="IBM Plex Sans SemiBold"/>
          <w:b/>
          <w:bCs/>
        </w:rPr>
        <w:t xml:space="preserve"> </w:t>
      </w:r>
      <w:r w:rsidRPr="0000756C">
        <w:rPr>
          <w:rFonts w:ascii="IBM Plex Sans Light" w:hAnsi="IBM Plex Sans Light"/>
          <w:i/>
          <w:iCs/>
        </w:rPr>
        <w:t>for</w:t>
      </w:r>
      <w:r w:rsidR="0000756C">
        <w:rPr>
          <w:rFonts w:ascii="IBM Plex Sans Light" w:hAnsi="IBM Plex Sans Light"/>
          <w:i/>
          <w:iCs/>
        </w:rPr>
        <w:t xml:space="preserve"> the</w:t>
      </w:r>
    </w:p>
    <w:p w14:paraId="4D541994" w14:textId="77777777" w:rsidR="009F3572" w:rsidRPr="009F3572" w:rsidRDefault="79F208F4" w:rsidP="009F3572">
      <w:pPr>
        <w:pStyle w:val="Heading1"/>
        <w:spacing w:afterLines="40" w:after="96"/>
        <w:rPr>
          <w:rFonts w:ascii="IBM Plex Sans Light" w:hAnsi="IBM Plex Sans Light"/>
          <w:i/>
          <w:iCs/>
          <w:lang w:val="en-FR"/>
        </w:rPr>
      </w:pPr>
      <w:r w:rsidRPr="79F208F4">
        <w:rPr>
          <w:rFonts w:ascii="IBM Plex Sans Light" w:hAnsi="IBM Plex Sans Light"/>
          <w:i/>
          <w:iCs/>
        </w:rPr>
        <w:t>‘</w:t>
      </w:r>
      <w:r w:rsidR="009F3572" w:rsidRPr="009F3572">
        <w:rPr>
          <w:rFonts w:ascii="IBM Plex Sans Light" w:hAnsi="IBM Plex Sans Light"/>
          <w:i/>
          <w:iCs/>
          <w:lang w:val="en-FR"/>
        </w:rPr>
        <w:t xml:space="preserve">Leveraging deployed ODM decision services in watsonx </w:t>
      </w:r>
      <w:proofErr w:type="gramStart"/>
      <w:r w:rsidR="009F3572" w:rsidRPr="009F3572">
        <w:rPr>
          <w:rFonts w:ascii="IBM Plex Sans Light" w:hAnsi="IBM Plex Sans Light"/>
          <w:i/>
          <w:iCs/>
          <w:lang w:val="en-FR"/>
        </w:rPr>
        <w:t>Orchestrate</w:t>
      </w:r>
      <w:proofErr w:type="gramEnd"/>
    </w:p>
    <w:p w14:paraId="2DD879BC" w14:textId="2E660E38" w:rsidR="00AC20FD" w:rsidRPr="0000756C" w:rsidRDefault="79F208F4" w:rsidP="00CA351B">
      <w:pPr>
        <w:pStyle w:val="Heading1"/>
        <w:spacing w:before="0" w:afterLines="40" w:after="96"/>
        <w:rPr>
          <w:rFonts w:ascii="IBM Plex Sans Light" w:hAnsi="IBM Plex Sans Light"/>
          <w:i/>
          <w:iCs/>
        </w:rPr>
      </w:pPr>
      <w:r w:rsidRPr="79F208F4">
        <w:rPr>
          <w:rFonts w:ascii="IBM Plex Sans Light" w:hAnsi="IBM Plex Sans Light"/>
          <w:i/>
          <w:iCs/>
        </w:rPr>
        <w:t xml:space="preserve">’ Platinum Demo </w:t>
      </w:r>
    </w:p>
    <w:p w14:paraId="296C4365" w14:textId="77777777" w:rsidR="0081329E" w:rsidRPr="00841CB9" w:rsidRDefault="0081329E" w:rsidP="006621A9">
      <w:pPr>
        <w:spacing w:afterLines="40" w:after="96"/>
        <w:rPr>
          <w:rFonts w:ascii="IBM Plex Sans Light" w:hAnsi="IBM Plex Sans Light"/>
        </w:rPr>
      </w:pPr>
    </w:p>
    <w:p w14:paraId="09AC4236" w14:textId="77777777" w:rsidR="0000756C" w:rsidRPr="007000C0" w:rsidRDefault="0000756C" w:rsidP="006621A9">
      <w:pPr>
        <w:pStyle w:val="Heading1"/>
        <w:spacing w:before="0" w:afterLines="40" w:after="96"/>
        <w:rPr>
          <w:rFonts w:ascii="IBM Plex Sans" w:hAnsi="IBM Plex Sans"/>
          <w:u w:val="single"/>
        </w:rPr>
      </w:pPr>
      <w:r w:rsidRPr="007000C0">
        <w:rPr>
          <w:rFonts w:ascii="IBM Plex Sans" w:hAnsi="IBM Plex Sans"/>
          <w:u w:val="single"/>
        </w:rPr>
        <w:t>Overview</w:t>
      </w:r>
    </w:p>
    <w:p w14:paraId="59676460" w14:textId="6DBD3D0F" w:rsidR="0081329E" w:rsidRPr="0000756C" w:rsidRDefault="007E5961" w:rsidP="006621A9">
      <w:pPr>
        <w:spacing w:afterLines="40" w:after="96"/>
        <w:rPr>
          <w:rFonts w:ascii="IBM Plex Sans Light" w:hAnsi="IBM Plex Sans Light"/>
          <w:sz w:val="28"/>
          <w:szCs w:val="28"/>
        </w:rPr>
      </w:pPr>
      <w:r>
        <w:rPr>
          <w:rFonts w:ascii="IBM Plex Sans Light" w:hAnsi="IBM Plex Sans Light"/>
          <w:sz w:val="28"/>
          <w:szCs w:val="28"/>
        </w:rPr>
        <w:t>“</w:t>
      </w:r>
      <w:r w:rsidR="009F3572">
        <w:rPr>
          <w:rFonts w:ascii="IBM Plex Sans Light" w:hAnsi="IBM Plex Sans Light"/>
          <w:sz w:val="28"/>
          <w:szCs w:val="28"/>
        </w:rPr>
        <w:t>Orchestrate with ODM</w:t>
      </w:r>
      <w:r>
        <w:rPr>
          <w:rFonts w:ascii="IBM Plex Sans Light" w:hAnsi="IBM Plex Sans Light"/>
          <w:sz w:val="28"/>
          <w:szCs w:val="28"/>
        </w:rPr>
        <w:t xml:space="preserve">” demo uses </w:t>
      </w:r>
      <w:r w:rsidR="009F3572">
        <w:rPr>
          <w:rFonts w:ascii="IBM Plex Sans Light" w:hAnsi="IBM Plex Sans Light"/>
          <w:sz w:val="28"/>
          <w:szCs w:val="28"/>
        </w:rPr>
        <w:t>watsonx Orchestrate combined with IBM Operational Decision Manager</w:t>
      </w:r>
      <w:r w:rsidR="0068153B">
        <w:rPr>
          <w:rFonts w:ascii="IBM Plex Sans Light" w:hAnsi="IBM Plex Sans Light"/>
          <w:sz w:val="28"/>
          <w:szCs w:val="28"/>
        </w:rPr>
        <w:t xml:space="preserve"> </w:t>
      </w:r>
      <w:r w:rsidR="009F3572">
        <w:rPr>
          <w:rFonts w:ascii="IBM Plex Sans Light" w:hAnsi="IBM Plex Sans Light"/>
          <w:sz w:val="28"/>
          <w:szCs w:val="28"/>
        </w:rPr>
        <w:t xml:space="preserve">deliver new automation services </w:t>
      </w:r>
      <w:r w:rsidRPr="007E5961">
        <w:rPr>
          <w:rFonts w:ascii="IBM Plex Sans Light" w:hAnsi="IBM Plex Sans Light"/>
          <w:sz w:val="28"/>
          <w:szCs w:val="28"/>
        </w:rPr>
        <w:t>to save employees’ time a</w:t>
      </w:r>
      <w:r w:rsidR="009F3572">
        <w:rPr>
          <w:rFonts w:ascii="IBM Plex Sans Light" w:hAnsi="IBM Plex Sans Light"/>
          <w:sz w:val="28"/>
          <w:szCs w:val="28"/>
        </w:rPr>
        <w:t>nd customer satisfaction</w:t>
      </w:r>
      <w:r>
        <w:rPr>
          <w:rFonts w:ascii="IBM Plex Sans Light" w:hAnsi="IBM Plex Sans Light"/>
          <w:sz w:val="28"/>
          <w:szCs w:val="28"/>
        </w:rPr>
        <w:t>.</w:t>
      </w:r>
      <w:r w:rsidR="0081329E" w:rsidRPr="0081329E">
        <w:rPr>
          <w:rFonts w:ascii="IBM Plex Sans Light" w:hAnsi="IBM Plex Sans Light"/>
          <w:sz w:val="28"/>
          <w:szCs w:val="28"/>
        </w:rPr>
        <w:t xml:space="preserve"> </w:t>
      </w:r>
      <w:r w:rsidR="009F3572">
        <w:rPr>
          <w:rFonts w:ascii="IBM Plex Sans Light" w:hAnsi="IBM Plex Sans Light"/>
          <w:sz w:val="28"/>
          <w:szCs w:val="28"/>
        </w:rPr>
        <w:t>Call center agents</w:t>
      </w:r>
      <w:r w:rsidR="00330EFA" w:rsidRPr="00330EFA">
        <w:rPr>
          <w:rFonts w:ascii="IBM Plex Sans Light" w:hAnsi="IBM Plex Sans Light"/>
          <w:sz w:val="28"/>
          <w:szCs w:val="28"/>
        </w:rPr>
        <w:t xml:space="preserve"> can quickly</w:t>
      </w:r>
      <w:r w:rsidR="008D553E">
        <w:rPr>
          <w:rFonts w:ascii="IBM Plex Sans Light" w:hAnsi="IBM Plex Sans Light"/>
          <w:sz w:val="28"/>
          <w:szCs w:val="28"/>
        </w:rPr>
        <w:t xml:space="preserve"> </w:t>
      </w:r>
      <w:r w:rsidR="009F3572">
        <w:rPr>
          <w:rFonts w:ascii="IBM Plex Sans Light" w:hAnsi="IBM Plex Sans Light"/>
          <w:sz w:val="28"/>
          <w:szCs w:val="28"/>
        </w:rPr>
        <w:t xml:space="preserve">manage return requests and </w:t>
      </w:r>
      <w:r w:rsidR="00330EFA" w:rsidRPr="00330EFA">
        <w:rPr>
          <w:rFonts w:ascii="IBM Plex Sans Light" w:hAnsi="IBM Plex Sans Light"/>
          <w:sz w:val="28"/>
          <w:szCs w:val="28"/>
        </w:rPr>
        <w:t xml:space="preserve">improve </w:t>
      </w:r>
      <w:r w:rsidR="00F46408">
        <w:rPr>
          <w:rFonts w:ascii="IBM Plex Sans Light" w:hAnsi="IBM Plex Sans Light"/>
          <w:sz w:val="28"/>
          <w:szCs w:val="28"/>
        </w:rPr>
        <w:t xml:space="preserve">the effectiveness of </w:t>
      </w:r>
      <w:r w:rsidR="00330EFA" w:rsidRPr="00330EFA">
        <w:rPr>
          <w:rFonts w:ascii="IBM Plex Sans Light" w:hAnsi="IBM Plex Sans Light"/>
          <w:sz w:val="28"/>
          <w:szCs w:val="28"/>
        </w:rPr>
        <w:t xml:space="preserve">their everyday </w:t>
      </w:r>
      <w:r w:rsidR="009F3572">
        <w:rPr>
          <w:rFonts w:ascii="IBM Plex Sans Light" w:hAnsi="IBM Plex Sans Light"/>
          <w:sz w:val="28"/>
          <w:szCs w:val="28"/>
        </w:rPr>
        <w:t>interactions with the customers</w:t>
      </w:r>
      <w:r w:rsidR="00330EFA" w:rsidRPr="00330EFA">
        <w:rPr>
          <w:rFonts w:ascii="IBM Plex Sans Light" w:hAnsi="IBM Plex Sans Light"/>
          <w:sz w:val="28"/>
          <w:szCs w:val="28"/>
        </w:rPr>
        <w:t>.</w:t>
      </w:r>
    </w:p>
    <w:p w14:paraId="24CAED90" w14:textId="77777777" w:rsidR="0081329E" w:rsidRPr="00841CB9" w:rsidRDefault="0081329E" w:rsidP="006621A9">
      <w:pPr>
        <w:spacing w:afterLines="40" w:after="96"/>
        <w:rPr>
          <w:rFonts w:ascii="IBM Plex Sans Light" w:hAnsi="IBM Plex Sans Light"/>
        </w:rPr>
      </w:pPr>
    </w:p>
    <w:p w14:paraId="01139891" w14:textId="58D3C011" w:rsidR="0081329E" w:rsidRDefault="0081329E" w:rsidP="0068153B">
      <w:pPr>
        <w:spacing w:afterLines="40" w:after="96"/>
        <w:rPr>
          <w:rFonts w:ascii="IBM Plex Sans Light" w:hAnsi="IBM Plex Sans Light"/>
          <w:sz w:val="28"/>
          <w:szCs w:val="28"/>
        </w:rPr>
      </w:pPr>
      <w:r w:rsidRPr="0000756C">
        <w:rPr>
          <w:rFonts w:ascii="IBM Plex Sans Light" w:hAnsi="IBM Plex Sans Light"/>
          <w:sz w:val="28"/>
          <w:szCs w:val="28"/>
        </w:rPr>
        <w:t xml:space="preserve">This demo uses </w:t>
      </w:r>
      <w:r w:rsidR="009F3572" w:rsidRPr="0000756C">
        <w:rPr>
          <w:rFonts w:ascii="IBM Plex Sans Light" w:hAnsi="IBM Plex Sans Light"/>
          <w:sz w:val="28"/>
          <w:szCs w:val="28"/>
        </w:rPr>
        <w:t>a</w:t>
      </w:r>
      <w:r w:rsidR="007E5961">
        <w:rPr>
          <w:rFonts w:ascii="IBM Plex Sans Light" w:hAnsi="IBM Plex Sans Light"/>
          <w:sz w:val="28"/>
          <w:szCs w:val="28"/>
        </w:rPr>
        <w:t xml:space="preserve"> </w:t>
      </w:r>
      <w:r w:rsidR="009F3572">
        <w:rPr>
          <w:rFonts w:ascii="IBM Plex Sans Light" w:hAnsi="IBM Plex Sans Light"/>
          <w:sz w:val="28"/>
          <w:szCs w:val="28"/>
        </w:rPr>
        <w:t>call center</w:t>
      </w:r>
      <w:r w:rsidR="007E5961">
        <w:rPr>
          <w:rFonts w:ascii="IBM Plex Sans Light" w:hAnsi="IBM Plex Sans Light"/>
          <w:sz w:val="28"/>
          <w:szCs w:val="28"/>
        </w:rPr>
        <w:t xml:space="preserve"> </w:t>
      </w:r>
      <w:r w:rsidRPr="0000756C">
        <w:rPr>
          <w:rFonts w:ascii="IBM Plex Sans Light" w:hAnsi="IBM Plex Sans Light"/>
          <w:sz w:val="28"/>
          <w:szCs w:val="28"/>
        </w:rPr>
        <w:t>example</w:t>
      </w:r>
      <w:r w:rsidR="0068153B">
        <w:rPr>
          <w:rFonts w:ascii="IBM Plex Sans Light" w:hAnsi="IBM Plex Sans Light"/>
          <w:sz w:val="28"/>
          <w:szCs w:val="28"/>
        </w:rPr>
        <w:t xml:space="preserve"> to illustrate </w:t>
      </w:r>
      <w:r w:rsidR="009F3572">
        <w:rPr>
          <w:rFonts w:ascii="IBM Plex Sans Light" w:hAnsi="IBM Plex Sans Light"/>
          <w:sz w:val="28"/>
          <w:szCs w:val="28"/>
        </w:rPr>
        <w:t>the power of watsonx Orchestrate to leverage existing IBM automation applications and reuse them in a new context to further increase employee productivity, time to response and service quality.</w:t>
      </w:r>
      <w:r w:rsidRPr="0000756C">
        <w:rPr>
          <w:rFonts w:ascii="IBM Plex Sans Light" w:hAnsi="IBM Plex Sans Light"/>
          <w:sz w:val="28"/>
          <w:szCs w:val="28"/>
        </w:rPr>
        <w:t xml:space="preserve"> </w:t>
      </w:r>
      <w:r w:rsidR="009F3572">
        <w:rPr>
          <w:rFonts w:ascii="IBM Plex Sans Light" w:hAnsi="IBM Plex Sans Light"/>
          <w:sz w:val="28"/>
          <w:szCs w:val="28"/>
        </w:rPr>
        <w:t>Watsonx Orchestrate enables organizations to leverage their IBM Automation investments reusing deployed decision services and ensuring consistency and governance on how decisions are made across the entire organization.</w:t>
      </w:r>
    </w:p>
    <w:p w14:paraId="0B7ABCC0" w14:textId="77777777" w:rsidR="009F3572" w:rsidRDefault="009F3572" w:rsidP="0068153B">
      <w:pPr>
        <w:spacing w:afterLines="40" w:after="96"/>
        <w:rPr>
          <w:rFonts w:ascii="IBM Plex Sans Light" w:hAnsi="IBM Plex Sans Light"/>
          <w:sz w:val="28"/>
          <w:szCs w:val="28"/>
        </w:rPr>
      </w:pPr>
    </w:p>
    <w:p w14:paraId="05405401" w14:textId="031F2488" w:rsidR="009F3572" w:rsidRDefault="009F3572" w:rsidP="0068153B">
      <w:pPr>
        <w:spacing w:afterLines="40" w:after="96"/>
        <w:rPr>
          <w:rFonts w:ascii="IBM Plex Sans Light" w:hAnsi="IBM Plex Sans Light"/>
          <w:sz w:val="28"/>
          <w:szCs w:val="28"/>
        </w:rPr>
      </w:pPr>
      <w:r>
        <w:rPr>
          <w:rFonts w:ascii="IBM Plex Sans Light" w:hAnsi="IBM Plex Sans Light"/>
          <w:sz w:val="28"/>
          <w:szCs w:val="28"/>
        </w:rPr>
        <w:t xml:space="preserve">Using watsonx Orchestrate combined with IBM Operational Decision Manager, call center agents no longer </w:t>
      </w:r>
      <w:proofErr w:type="gramStart"/>
      <w:r>
        <w:rPr>
          <w:rFonts w:ascii="IBM Plex Sans Light" w:hAnsi="IBM Plex Sans Light"/>
          <w:sz w:val="28"/>
          <w:szCs w:val="28"/>
        </w:rPr>
        <w:t>have to</w:t>
      </w:r>
      <w:proofErr w:type="gramEnd"/>
      <w:r>
        <w:rPr>
          <w:rFonts w:ascii="IBM Plex Sans Light" w:hAnsi="IBM Plex Sans Light"/>
          <w:sz w:val="28"/>
          <w:szCs w:val="28"/>
        </w:rPr>
        <w:t xml:space="preserve"> go through different </w:t>
      </w:r>
      <w:r w:rsidR="00B57053">
        <w:rPr>
          <w:rFonts w:ascii="IBM Plex Sans Light" w:hAnsi="IBM Plex Sans Light"/>
          <w:sz w:val="28"/>
          <w:szCs w:val="28"/>
        </w:rPr>
        <w:t>systems and applications to find information and get validations. They can perform their job faster, end-to-end from one single easy to use interface.</w:t>
      </w:r>
    </w:p>
    <w:p w14:paraId="1E2B6D8A" w14:textId="77777777" w:rsidR="0000756C" w:rsidRPr="00841CB9" w:rsidRDefault="0000756C" w:rsidP="006621A9">
      <w:pPr>
        <w:spacing w:afterLines="40" w:after="96"/>
        <w:rPr>
          <w:rFonts w:ascii="IBM Plex Sans Light" w:hAnsi="IBM Plex Sans Light"/>
        </w:rPr>
      </w:pPr>
    </w:p>
    <w:p w14:paraId="6A0F4CC5" w14:textId="69F9A395" w:rsidR="00487013" w:rsidRDefault="0000756C" w:rsidP="006621A9">
      <w:pPr>
        <w:spacing w:afterLines="40" w:after="96"/>
        <w:rPr>
          <w:rFonts w:ascii="IBM Plex Sans Light" w:hAnsi="IBM Plex Sans Light"/>
          <w:sz w:val="28"/>
          <w:szCs w:val="28"/>
        </w:rPr>
      </w:pPr>
      <w:r w:rsidRPr="00B1751B">
        <w:rPr>
          <w:rFonts w:ascii="IBM Plex Sans Light" w:hAnsi="IBM Plex Sans Light"/>
          <w:sz w:val="28"/>
          <w:szCs w:val="28"/>
        </w:rPr>
        <w:t xml:space="preserve">The </w:t>
      </w:r>
      <w:r w:rsidRPr="00B1751B">
        <w:rPr>
          <w:rFonts w:ascii="IBM Plex Sans SemiBold" w:hAnsi="IBM Plex Sans SemiBold"/>
          <w:b/>
          <w:bCs/>
          <w:sz w:val="28"/>
          <w:szCs w:val="28"/>
        </w:rPr>
        <w:t xml:space="preserve">benefits of </w:t>
      </w:r>
      <w:r w:rsidR="00B84C92">
        <w:rPr>
          <w:rFonts w:ascii="IBM Plex Sans SemiBold" w:hAnsi="IBM Plex Sans SemiBold"/>
          <w:b/>
          <w:bCs/>
          <w:sz w:val="28"/>
          <w:szCs w:val="28"/>
        </w:rPr>
        <w:t>Digital Assistants</w:t>
      </w:r>
      <w:r w:rsidRPr="00B1751B">
        <w:rPr>
          <w:rFonts w:ascii="IBM Plex Sans Light" w:hAnsi="IBM Plex Sans Light"/>
          <w:sz w:val="28"/>
          <w:szCs w:val="28"/>
        </w:rPr>
        <w:t xml:space="preserve"> include:</w:t>
      </w:r>
      <w:r w:rsidR="006E3DBA">
        <w:rPr>
          <w:rFonts w:ascii="IBM Plex Sans Light" w:hAnsi="IBM Plex Sans Light"/>
          <w:sz w:val="28"/>
          <w:szCs w:val="28"/>
        </w:rPr>
        <w:t xml:space="preserve"> </w:t>
      </w:r>
    </w:p>
    <w:p w14:paraId="53147668" w14:textId="51F2C926" w:rsidR="00487013" w:rsidRPr="00487013" w:rsidRDefault="00B84C92" w:rsidP="00487013">
      <w:pPr>
        <w:numPr>
          <w:ilvl w:val="0"/>
          <w:numId w:val="10"/>
        </w:numPr>
        <w:tabs>
          <w:tab w:val="num" w:pos="0"/>
          <w:tab w:val="left" w:pos="360"/>
          <w:tab w:val="num" w:pos="720"/>
          <w:tab w:val="left" w:pos="1440"/>
        </w:tabs>
        <w:spacing w:afterLines="40" w:after="96"/>
        <w:ind w:left="90" w:hanging="90"/>
        <w:rPr>
          <w:rFonts w:ascii="IBM Plex Sans Light" w:hAnsi="IBM Plex Sans Light"/>
          <w:sz w:val="28"/>
          <w:szCs w:val="28"/>
        </w:rPr>
      </w:pPr>
      <w:r>
        <w:rPr>
          <w:rFonts w:ascii="IBM Plex Sans Light" w:hAnsi="IBM Plex Sans Light"/>
          <w:sz w:val="28"/>
          <w:szCs w:val="28"/>
        </w:rPr>
        <w:t xml:space="preserve">Use skills using conversational style </w:t>
      </w:r>
      <w:proofErr w:type="gramStart"/>
      <w:r>
        <w:rPr>
          <w:rFonts w:ascii="IBM Plex Sans Light" w:hAnsi="IBM Plex Sans Light"/>
          <w:sz w:val="28"/>
          <w:szCs w:val="28"/>
        </w:rPr>
        <w:t>interactions</w:t>
      </w:r>
      <w:proofErr w:type="gramEnd"/>
    </w:p>
    <w:p w14:paraId="7EF6D28B" w14:textId="16851D98" w:rsidR="00487013" w:rsidRPr="00487013" w:rsidRDefault="00B84C92" w:rsidP="00487013">
      <w:pPr>
        <w:numPr>
          <w:ilvl w:val="0"/>
          <w:numId w:val="10"/>
        </w:numPr>
        <w:tabs>
          <w:tab w:val="num" w:pos="0"/>
          <w:tab w:val="left" w:pos="360"/>
          <w:tab w:val="num" w:pos="720"/>
          <w:tab w:val="left" w:pos="1440"/>
        </w:tabs>
        <w:spacing w:afterLines="40" w:after="96"/>
        <w:ind w:left="90" w:hanging="90"/>
        <w:rPr>
          <w:rFonts w:ascii="IBM Plex Sans Light" w:hAnsi="IBM Plex Sans Light"/>
          <w:sz w:val="28"/>
          <w:szCs w:val="28"/>
        </w:rPr>
      </w:pPr>
      <w:r>
        <w:rPr>
          <w:rFonts w:ascii="IBM Plex Sans Light" w:hAnsi="IBM Plex Sans Light"/>
          <w:sz w:val="28"/>
          <w:szCs w:val="28"/>
        </w:rPr>
        <w:t xml:space="preserve">Extensible skill catalog </w:t>
      </w:r>
    </w:p>
    <w:p w14:paraId="0AB5E7AC" w14:textId="7538F14C" w:rsidR="0000756C" w:rsidRDefault="00B84C92" w:rsidP="00487013">
      <w:pPr>
        <w:numPr>
          <w:ilvl w:val="0"/>
          <w:numId w:val="10"/>
        </w:numPr>
        <w:tabs>
          <w:tab w:val="num" w:pos="0"/>
          <w:tab w:val="left" w:pos="360"/>
          <w:tab w:val="num" w:pos="720"/>
          <w:tab w:val="left" w:pos="1440"/>
        </w:tabs>
        <w:spacing w:afterLines="40" w:after="96"/>
        <w:ind w:left="90" w:hanging="90"/>
        <w:rPr>
          <w:rFonts w:ascii="IBM Plex Sans Light" w:hAnsi="IBM Plex Sans Light"/>
          <w:sz w:val="28"/>
          <w:szCs w:val="28"/>
        </w:rPr>
      </w:pPr>
      <w:r>
        <w:rPr>
          <w:rFonts w:ascii="IBM Plex Sans Light" w:hAnsi="IBM Plex Sans Light"/>
          <w:sz w:val="28"/>
          <w:szCs w:val="28"/>
        </w:rPr>
        <w:t xml:space="preserve">Discovery Services to create skills from existing IBM Automation </w:t>
      </w:r>
      <w:proofErr w:type="gramStart"/>
      <w:r>
        <w:rPr>
          <w:rFonts w:ascii="IBM Plex Sans Light" w:hAnsi="IBM Plex Sans Light"/>
          <w:sz w:val="28"/>
          <w:szCs w:val="28"/>
        </w:rPr>
        <w:t>tools</w:t>
      </w:r>
      <w:proofErr w:type="gramEnd"/>
    </w:p>
    <w:p w14:paraId="3F74A428" w14:textId="71DE00E7" w:rsidR="0051058B" w:rsidRDefault="00B84C92" w:rsidP="00487013">
      <w:pPr>
        <w:numPr>
          <w:ilvl w:val="0"/>
          <w:numId w:val="10"/>
        </w:numPr>
        <w:tabs>
          <w:tab w:val="num" w:pos="0"/>
          <w:tab w:val="left" w:pos="360"/>
          <w:tab w:val="num" w:pos="720"/>
          <w:tab w:val="left" w:pos="1440"/>
        </w:tabs>
        <w:spacing w:afterLines="40" w:after="96"/>
        <w:ind w:left="90" w:hanging="90"/>
        <w:rPr>
          <w:rFonts w:ascii="IBM Plex Sans Light" w:hAnsi="IBM Plex Sans Light"/>
          <w:sz w:val="28"/>
          <w:szCs w:val="28"/>
        </w:rPr>
      </w:pPr>
      <w:r>
        <w:rPr>
          <w:rFonts w:ascii="IBM Plex Sans Light" w:hAnsi="IBM Plex Sans Light"/>
          <w:sz w:val="28"/>
          <w:szCs w:val="28"/>
        </w:rPr>
        <w:t xml:space="preserve">Enables end-to-end complex tasks assembling skills in a linear </w:t>
      </w:r>
      <w:proofErr w:type="gramStart"/>
      <w:r>
        <w:rPr>
          <w:rFonts w:ascii="IBM Plex Sans Light" w:hAnsi="IBM Plex Sans Light"/>
          <w:sz w:val="28"/>
          <w:szCs w:val="28"/>
        </w:rPr>
        <w:t>flow</w:t>
      </w:r>
      <w:proofErr w:type="gramEnd"/>
    </w:p>
    <w:p w14:paraId="760B55A4" w14:textId="5F0C82AD" w:rsidR="006D66B7" w:rsidRDefault="006D66B7" w:rsidP="006621A9">
      <w:pPr>
        <w:pStyle w:val="Heading1"/>
        <w:spacing w:before="0" w:afterLines="40" w:after="96"/>
        <w:rPr>
          <w:rFonts w:ascii="IBM Plex Sans" w:hAnsi="IBM Plex Sans"/>
          <w:u w:val="single"/>
        </w:rPr>
      </w:pPr>
      <w:r>
        <w:rPr>
          <w:rFonts w:ascii="IBM Plex Sans" w:hAnsi="IBM Plex Sans"/>
          <w:u w:val="single"/>
        </w:rPr>
        <w:lastRenderedPageBreak/>
        <w:t>Pain points</w:t>
      </w:r>
    </w:p>
    <w:p w14:paraId="7DFE0B19" w14:textId="2B0F0776" w:rsidR="006D66B7" w:rsidRPr="00945DE1" w:rsidRDefault="006D66B7" w:rsidP="006D66B7">
      <w:pPr>
        <w:rPr>
          <w:rFonts w:ascii="IBM Plex Sans Light" w:hAnsi="IBM Plex Sans Light"/>
          <w:sz w:val="28"/>
          <w:szCs w:val="28"/>
        </w:rPr>
      </w:pPr>
      <w:r w:rsidRPr="00945DE1">
        <w:rPr>
          <w:rFonts w:ascii="IBM Plex Sans Light" w:hAnsi="IBM Plex Sans Light"/>
          <w:sz w:val="28"/>
          <w:szCs w:val="28"/>
        </w:rPr>
        <w:t>Here are some of the pain points addressed in this demonstration:</w:t>
      </w:r>
    </w:p>
    <w:p w14:paraId="18046F45" w14:textId="6CB14A53" w:rsidR="006D66B7" w:rsidRPr="006D66B7" w:rsidRDefault="00B84C92" w:rsidP="006D66B7">
      <w:pPr>
        <w:numPr>
          <w:ilvl w:val="0"/>
          <w:numId w:val="22"/>
        </w:numP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val="en-FR" w:eastAsia="en-GB"/>
        </w:rPr>
      </w:pPr>
      <w:r w:rsidRPr="00B84C92"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eastAsia="en-GB"/>
        </w:rPr>
        <w:t>Need to access different application to perform</w:t>
      </w:r>
      <w: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eastAsia="en-GB"/>
        </w:rPr>
        <w:t xml:space="preserve"> a day-to-day </w:t>
      </w:r>
      <w:proofErr w:type="gramStart"/>
      <w: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eastAsia="en-GB"/>
        </w:rPr>
        <w:t>job</w:t>
      </w:r>
      <w:proofErr w:type="gramEnd"/>
    </w:p>
    <w:p w14:paraId="4FE07560" w14:textId="6ED4C417" w:rsidR="006D66B7" w:rsidRPr="006D66B7" w:rsidRDefault="00B84C92" w:rsidP="006D66B7">
      <w:pPr>
        <w:numPr>
          <w:ilvl w:val="0"/>
          <w:numId w:val="22"/>
        </w:numP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val="en-FR" w:eastAsia="en-GB"/>
        </w:rPr>
      </w:pPr>
      <w:r w:rsidRPr="00B84C92"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eastAsia="en-GB"/>
        </w:rPr>
        <w:t xml:space="preserve">Risk of errors when </w:t>
      </w:r>
      <w: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eastAsia="en-GB"/>
        </w:rPr>
        <w:t>entering data</w:t>
      </w:r>
      <w:r w:rsidR="00DA2B54"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eastAsia="en-GB"/>
        </w:rPr>
        <w:t xml:space="preserve"> in multi-fields forms</w:t>
      </w:r>
    </w:p>
    <w:p w14:paraId="2A96B549" w14:textId="573A36D4" w:rsidR="006D66B7" w:rsidRPr="00945DE1" w:rsidRDefault="00DA2B54" w:rsidP="006D66B7">
      <w:pPr>
        <w:numPr>
          <w:ilvl w:val="0"/>
          <w:numId w:val="22"/>
        </w:numP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val="en-FR" w:eastAsia="en-GB"/>
        </w:rPr>
      </w:pPr>
      <w: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eastAsia="en-GB"/>
        </w:rPr>
        <w:t>Long lasting</w:t>
      </w:r>
      <w:r w:rsidRPr="00DA2B54"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eastAsia="en-GB"/>
        </w:rPr>
        <w:t xml:space="preserve"> interactions with the</w:t>
      </w:r>
      <w: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eastAsia="en-GB"/>
        </w:rPr>
        <w:t xml:space="preserve"> customers leading to call center productivity </w:t>
      </w:r>
      <w:proofErr w:type="gramStart"/>
      <w: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eastAsia="en-GB"/>
        </w:rPr>
        <w:t>loss</w:t>
      </w:r>
      <w:proofErr w:type="gramEnd"/>
    </w:p>
    <w:p w14:paraId="30450C66" w14:textId="59D778C6" w:rsidR="006D66B7" w:rsidRPr="00DA2B54" w:rsidRDefault="00DA2B54" w:rsidP="006D66B7">
      <w:pPr>
        <w:numPr>
          <w:ilvl w:val="0"/>
          <w:numId w:val="22"/>
        </w:numP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val="en-FR" w:eastAsia="en-GB"/>
        </w:rPr>
      </w:pPr>
      <w: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eastAsia="en-GB"/>
        </w:rPr>
        <w:t xml:space="preserve">Lack of visibility in how decisions are made leading to high customer </w:t>
      </w:r>
      <w:proofErr w:type="gramStart"/>
      <w: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eastAsia="en-GB"/>
        </w:rPr>
        <w:t>disappointment</w:t>
      </w:r>
      <w:proofErr w:type="gramEnd"/>
    </w:p>
    <w:p w14:paraId="5D718C50" w14:textId="1DE7EAA3" w:rsidR="00DA2B54" w:rsidRPr="006D66B7" w:rsidRDefault="00DA2B54" w:rsidP="006D66B7">
      <w:pPr>
        <w:numPr>
          <w:ilvl w:val="0"/>
          <w:numId w:val="22"/>
        </w:numP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val="en-FR" w:eastAsia="en-GB"/>
        </w:rPr>
      </w:pPr>
      <w: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eastAsia="en-GB"/>
        </w:rPr>
        <w:t xml:space="preserve">Lack of consistency in how decisions are made across services and </w:t>
      </w:r>
      <w:proofErr w:type="gramStart"/>
      <w:r>
        <w:rPr>
          <w:rFonts w:ascii="IBM Plex Sans Light" w:eastAsia="Times New Roman" w:hAnsi="IBM Plex Sans Light" w:cs="Times New Roman"/>
          <w:color w:val="293F4D"/>
          <w:spacing w:val="2"/>
          <w:sz w:val="28"/>
          <w:szCs w:val="28"/>
          <w:lang w:eastAsia="en-GB"/>
        </w:rPr>
        <w:t>applications</w:t>
      </w:r>
      <w:proofErr w:type="gramEnd"/>
    </w:p>
    <w:p w14:paraId="5EB1F6DC" w14:textId="77777777" w:rsidR="006D66B7" w:rsidRPr="00945DE1" w:rsidRDefault="006D66B7" w:rsidP="006D66B7">
      <w:pPr>
        <w:rPr>
          <w:rFonts w:ascii="IBM Plex Sans" w:hAnsi="IBM Plex Sans"/>
          <w:sz w:val="28"/>
          <w:szCs w:val="28"/>
          <w:lang w:val="en-FR"/>
        </w:rPr>
      </w:pPr>
    </w:p>
    <w:p w14:paraId="72EF9042" w14:textId="75D135D6" w:rsidR="0000756C" w:rsidRPr="007000C0" w:rsidRDefault="0000756C" w:rsidP="006621A9">
      <w:pPr>
        <w:pStyle w:val="Heading1"/>
        <w:spacing w:before="0" w:afterLines="40" w:after="96"/>
        <w:rPr>
          <w:rFonts w:ascii="IBM Plex Sans" w:hAnsi="IBM Plex Sans"/>
          <w:u w:val="single"/>
        </w:rPr>
      </w:pPr>
      <w:r w:rsidRPr="007000C0">
        <w:rPr>
          <w:rFonts w:ascii="IBM Plex Sans" w:hAnsi="IBM Plex Sans"/>
          <w:u w:val="single"/>
        </w:rPr>
        <w:t>Hints and tips</w:t>
      </w:r>
    </w:p>
    <w:p w14:paraId="27E09D65" w14:textId="43370C9C" w:rsidR="00487013" w:rsidRDefault="006D66B7" w:rsidP="006621A9">
      <w:pPr>
        <w:spacing w:afterLines="40" w:after="96"/>
        <w:rPr>
          <w:rFonts w:ascii="IBM Plex Sans Light" w:hAnsi="IBM Plex Sans Light"/>
          <w:sz w:val="28"/>
          <w:szCs w:val="28"/>
        </w:rPr>
      </w:pPr>
      <w:r>
        <w:rPr>
          <w:rFonts w:ascii="IBM Plex Sans Light" w:hAnsi="IBM Plex Sans Light"/>
          <w:sz w:val="28"/>
          <w:szCs w:val="28"/>
        </w:rPr>
        <w:t>L</w:t>
      </w:r>
      <w:r w:rsidRPr="006D66B7">
        <w:rPr>
          <w:rFonts w:ascii="IBM Plex Sans Light" w:hAnsi="IBM Plex Sans Light"/>
          <w:sz w:val="28"/>
          <w:szCs w:val="28"/>
        </w:rPr>
        <w:t xml:space="preserve">ook for </w:t>
      </w:r>
      <w:r w:rsidR="00DE43B2">
        <w:rPr>
          <w:rFonts w:ascii="IBM Plex Sans Light" w:hAnsi="IBM Plex Sans Light"/>
          <w:sz w:val="28"/>
          <w:szCs w:val="28"/>
        </w:rPr>
        <w:t>existing IBM ODM customers</w:t>
      </w:r>
      <w:r w:rsidRPr="006D66B7">
        <w:rPr>
          <w:rFonts w:ascii="IBM Plex Sans Light" w:hAnsi="IBM Plex Sans Light"/>
          <w:sz w:val="28"/>
          <w:szCs w:val="28"/>
        </w:rPr>
        <w:t xml:space="preserve"> across industries, but particularly in financial services, insurance, healthcare, government, that </w:t>
      </w:r>
      <w:r w:rsidR="00DE43B2">
        <w:rPr>
          <w:rFonts w:ascii="IBM Plex Sans Light" w:hAnsi="IBM Plex Sans Light"/>
          <w:sz w:val="28"/>
          <w:szCs w:val="28"/>
        </w:rPr>
        <w:t>have decisions services in production</w:t>
      </w:r>
      <w:r w:rsidR="00BF5CE6">
        <w:rPr>
          <w:rFonts w:ascii="IBM Plex Sans Light" w:hAnsi="IBM Plex Sans Light"/>
          <w:sz w:val="28"/>
          <w:szCs w:val="28"/>
        </w:rPr>
        <w:t>. See if</w:t>
      </w:r>
      <w:r w:rsidR="00DE43B2">
        <w:rPr>
          <w:rFonts w:ascii="IBM Plex Sans Light" w:hAnsi="IBM Plex Sans Light"/>
          <w:sz w:val="28"/>
          <w:szCs w:val="28"/>
        </w:rPr>
        <w:t xml:space="preserve"> they </w:t>
      </w:r>
      <w:r w:rsidR="0094264A">
        <w:rPr>
          <w:rFonts w:ascii="IBM Plex Sans Light" w:hAnsi="IBM Plex Sans Light"/>
          <w:sz w:val="28"/>
          <w:szCs w:val="28"/>
        </w:rPr>
        <w:t>think</w:t>
      </w:r>
      <w:r w:rsidR="00BF5CE6">
        <w:rPr>
          <w:rFonts w:ascii="IBM Plex Sans Light" w:hAnsi="IBM Plex Sans Light"/>
          <w:sz w:val="28"/>
          <w:szCs w:val="28"/>
        </w:rPr>
        <w:t xml:space="preserve"> about</w:t>
      </w:r>
      <w:r w:rsidR="00DE43B2">
        <w:rPr>
          <w:rFonts w:ascii="IBM Plex Sans Light" w:hAnsi="IBM Plex Sans Light"/>
          <w:sz w:val="28"/>
          <w:szCs w:val="28"/>
        </w:rPr>
        <w:t xml:space="preserve"> </w:t>
      </w:r>
      <w:r w:rsidR="00BF5CE6">
        <w:rPr>
          <w:rFonts w:ascii="IBM Plex Sans Light" w:hAnsi="IBM Plex Sans Light"/>
          <w:sz w:val="28"/>
          <w:szCs w:val="28"/>
        </w:rPr>
        <w:t>leveraging their decisions</w:t>
      </w:r>
      <w:r w:rsidR="00DE43B2">
        <w:rPr>
          <w:rFonts w:ascii="IBM Plex Sans Light" w:hAnsi="IBM Plex Sans Light"/>
          <w:sz w:val="28"/>
          <w:szCs w:val="28"/>
        </w:rPr>
        <w:t xml:space="preserve"> in a </w:t>
      </w:r>
      <w:r w:rsidR="0094264A">
        <w:rPr>
          <w:rFonts w:ascii="IBM Plex Sans Light" w:hAnsi="IBM Plex Sans Light"/>
          <w:sz w:val="28"/>
          <w:szCs w:val="28"/>
        </w:rPr>
        <w:t>new</w:t>
      </w:r>
      <w:r w:rsidR="00DE43B2">
        <w:rPr>
          <w:rFonts w:ascii="IBM Plex Sans Light" w:hAnsi="IBM Plex Sans Light"/>
          <w:sz w:val="28"/>
          <w:szCs w:val="28"/>
        </w:rPr>
        <w:t xml:space="preserve"> way to improve effici</w:t>
      </w:r>
      <w:r w:rsidR="00BF5CE6">
        <w:rPr>
          <w:rFonts w:ascii="IBM Plex Sans Light" w:hAnsi="IBM Plex Sans Light"/>
          <w:sz w:val="28"/>
          <w:szCs w:val="28"/>
        </w:rPr>
        <w:t>ency in other areas of their organization</w:t>
      </w:r>
      <w:r w:rsidRPr="006D66B7">
        <w:rPr>
          <w:rFonts w:ascii="IBM Plex Sans Light" w:hAnsi="IBM Plex Sans Light"/>
          <w:sz w:val="28"/>
          <w:szCs w:val="28"/>
        </w:rPr>
        <w:t>.</w:t>
      </w:r>
    </w:p>
    <w:p w14:paraId="5223E5B1" w14:textId="462FABD0" w:rsidR="009C1252" w:rsidRDefault="009C1252" w:rsidP="006621A9">
      <w:pPr>
        <w:spacing w:afterLines="40" w:after="96"/>
        <w:rPr>
          <w:rFonts w:ascii="IBM Plex Sans Light" w:hAnsi="IBM Plex Sans Light"/>
          <w:sz w:val="28"/>
          <w:szCs w:val="28"/>
        </w:rPr>
      </w:pPr>
    </w:p>
    <w:p w14:paraId="2DDF35B6" w14:textId="19871C53" w:rsidR="009C1252" w:rsidRDefault="009C1252" w:rsidP="006621A9">
      <w:pPr>
        <w:spacing w:afterLines="40" w:after="96"/>
        <w:rPr>
          <w:rFonts w:ascii="IBM Plex Sans Light" w:hAnsi="IBM Plex Sans Light"/>
          <w:sz w:val="28"/>
          <w:szCs w:val="28"/>
        </w:rPr>
      </w:pPr>
      <w:r>
        <w:rPr>
          <w:rFonts w:ascii="IBM Plex Sans Light" w:hAnsi="IBM Plex Sans Light"/>
          <w:sz w:val="28"/>
          <w:szCs w:val="28"/>
        </w:rPr>
        <w:t xml:space="preserve">Show this demo to LOB users that </w:t>
      </w:r>
      <w:r w:rsidR="00800BD1">
        <w:rPr>
          <w:rFonts w:ascii="IBM Plex Sans Light" w:hAnsi="IBM Plex Sans Light"/>
          <w:sz w:val="28"/>
          <w:szCs w:val="28"/>
        </w:rPr>
        <w:t>have contributed to the business rule creation and show them how their decision</w:t>
      </w:r>
      <w:r w:rsidR="0094264A">
        <w:rPr>
          <w:rFonts w:ascii="IBM Plex Sans Light" w:hAnsi="IBM Plex Sans Light"/>
          <w:sz w:val="28"/>
          <w:szCs w:val="28"/>
        </w:rPr>
        <w:t>s</w:t>
      </w:r>
      <w:r w:rsidR="00800BD1">
        <w:rPr>
          <w:rFonts w:ascii="IBM Plex Sans Light" w:hAnsi="IBM Plex Sans Light"/>
          <w:sz w:val="28"/>
          <w:szCs w:val="28"/>
        </w:rPr>
        <w:t xml:space="preserve"> </w:t>
      </w:r>
      <w:r w:rsidR="0094264A">
        <w:rPr>
          <w:rFonts w:ascii="IBM Plex Sans Light" w:hAnsi="IBM Plex Sans Light"/>
          <w:sz w:val="28"/>
          <w:szCs w:val="28"/>
        </w:rPr>
        <w:t>can</w:t>
      </w:r>
      <w:r w:rsidR="00800BD1">
        <w:rPr>
          <w:rFonts w:ascii="IBM Plex Sans Light" w:hAnsi="IBM Plex Sans Light"/>
          <w:sz w:val="28"/>
          <w:szCs w:val="28"/>
        </w:rPr>
        <w:t xml:space="preserve"> further improve productivity in their call centers, sales division, customer support..</w:t>
      </w:r>
      <w:r w:rsidRPr="009C1252">
        <w:rPr>
          <w:rFonts w:ascii="IBM Plex Sans Light" w:hAnsi="IBM Plex Sans Light"/>
          <w:sz w:val="28"/>
          <w:szCs w:val="28"/>
        </w:rPr>
        <w:t>.</w:t>
      </w:r>
    </w:p>
    <w:p w14:paraId="1F554A84" w14:textId="26186B25" w:rsidR="009C1252" w:rsidRDefault="009C1252" w:rsidP="006621A9">
      <w:pPr>
        <w:spacing w:afterLines="40" w:after="96"/>
        <w:rPr>
          <w:rFonts w:ascii="IBM Plex Sans Light" w:hAnsi="IBM Plex Sans Light"/>
          <w:sz w:val="28"/>
          <w:szCs w:val="28"/>
        </w:rPr>
      </w:pPr>
    </w:p>
    <w:p w14:paraId="11D31EF8" w14:textId="6F564C41" w:rsidR="009C1252" w:rsidRDefault="009C1252" w:rsidP="006621A9">
      <w:pPr>
        <w:spacing w:afterLines="40" w:after="96"/>
        <w:rPr>
          <w:rFonts w:ascii="IBM Plex Sans Light" w:hAnsi="IBM Plex Sans Light"/>
          <w:sz w:val="28"/>
          <w:szCs w:val="28"/>
        </w:rPr>
      </w:pPr>
      <w:r>
        <w:rPr>
          <w:rFonts w:ascii="IBM Plex Sans Light" w:hAnsi="IBM Plex Sans Light"/>
          <w:sz w:val="28"/>
          <w:szCs w:val="28"/>
        </w:rPr>
        <w:t xml:space="preserve">Work with </w:t>
      </w:r>
      <w:r w:rsidR="00800BD1">
        <w:rPr>
          <w:rFonts w:ascii="IBM Plex Sans Light" w:hAnsi="IBM Plex Sans Light"/>
          <w:sz w:val="28"/>
          <w:szCs w:val="28"/>
        </w:rPr>
        <w:t>CCO (Chief Customer Officer)</w:t>
      </w:r>
      <w:r>
        <w:rPr>
          <w:rFonts w:ascii="IBM Plex Sans Light" w:hAnsi="IBM Plex Sans Light"/>
          <w:sz w:val="28"/>
          <w:szCs w:val="28"/>
        </w:rPr>
        <w:t xml:space="preserve"> that are u</w:t>
      </w:r>
      <w:r w:rsidRPr="009C1252">
        <w:rPr>
          <w:rFonts w:ascii="IBM Plex Sans Light" w:hAnsi="IBM Plex Sans Light"/>
          <w:sz w:val="28"/>
          <w:szCs w:val="28"/>
        </w:rPr>
        <w:t xml:space="preserve">nder pressure to </w:t>
      </w:r>
      <w:r w:rsidR="00800BD1">
        <w:rPr>
          <w:rFonts w:ascii="IBM Plex Sans Light" w:hAnsi="IBM Plex Sans Light"/>
          <w:sz w:val="28"/>
          <w:szCs w:val="28"/>
        </w:rPr>
        <w:t xml:space="preserve">scale with increasing customer demands with declining. </w:t>
      </w:r>
      <w:r w:rsidRPr="009C1252">
        <w:rPr>
          <w:rFonts w:ascii="IBM Plex Sans Light" w:hAnsi="IBM Plex Sans Light"/>
          <w:sz w:val="28"/>
          <w:szCs w:val="28"/>
        </w:rPr>
        <w:t xml:space="preserve"> </w:t>
      </w:r>
      <w:r w:rsidR="00800BD1">
        <w:rPr>
          <w:rFonts w:ascii="IBM Plex Sans Light" w:hAnsi="IBM Plex Sans Light"/>
          <w:sz w:val="28"/>
          <w:szCs w:val="28"/>
        </w:rPr>
        <w:t>Show them how to improve their agents and sales productivity, reducing time to respond and improving the</w:t>
      </w:r>
      <w:r w:rsidRPr="009C1252">
        <w:rPr>
          <w:rFonts w:ascii="IBM Plex Sans Light" w:hAnsi="IBM Plex Sans Light"/>
          <w:sz w:val="28"/>
          <w:szCs w:val="28"/>
        </w:rPr>
        <w:t xml:space="preserve"> customer experience, </w:t>
      </w:r>
      <w:r w:rsidRPr="00BF16FA">
        <w:rPr>
          <w:rFonts w:ascii="IBM Plex Sans Light" w:hAnsi="IBM Plex Sans Light"/>
          <w:sz w:val="28"/>
          <w:szCs w:val="28"/>
          <w:u w:val="single"/>
        </w:rPr>
        <w:t xml:space="preserve">without compromising </w:t>
      </w:r>
      <w:r w:rsidR="00800BD1">
        <w:rPr>
          <w:rFonts w:ascii="IBM Plex Sans Light" w:hAnsi="IBM Plex Sans Light"/>
          <w:sz w:val="28"/>
          <w:szCs w:val="28"/>
          <w:u w:val="single"/>
        </w:rPr>
        <w:t>service quality</w:t>
      </w:r>
      <w:r w:rsidRPr="00BF16FA">
        <w:rPr>
          <w:rFonts w:ascii="IBM Plex Sans Light" w:hAnsi="IBM Plex Sans Light"/>
          <w:sz w:val="28"/>
          <w:szCs w:val="28"/>
          <w:u w:val="single"/>
        </w:rPr>
        <w:t xml:space="preserve"> and compliance</w:t>
      </w:r>
      <w:r w:rsidRPr="009C1252">
        <w:rPr>
          <w:rFonts w:ascii="IBM Plex Sans Light" w:hAnsi="IBM Plex Sans Light"/>
          <w:sz w:val="28"/>
          <w:szCs w:val="28"/>
        </w:rPr>
        <w:t>, while at the same time reducing costs to stay competitive</w:t>
      </w:r>
      <w:r w:rsidR="00BF16FA">
        <w:rPr>
          <w:rFonts w:ascii="IBM Plex Sans Light" w:hAnsi="IBM Plex Sans Light"/>
          <w:sz w:val="28"/>
          <w:szCs w:val="28"/>
        </w:rPr>
        <w:t>.</w:t>
      </w:r>
    </w:p>
    <w:p w14:paraId="0C041031" w14:textId="77777777" w:rsidR="009430B1" w:rsidRPr="00D3361F" w:rsidRDefault="009430B1" w:rsidP="006621A9">
      <w:pPr>
        <w:spacing w:afterLines="40" w:after="96"/>
        <w:rPr>
          <w:rFonts w:ascii="IBM Plex Sans Light" w:hAnsi="IBM Plex Sans Light"/>
        </w:rPr>
      </w:pPr>
    </w:p>
    <w:p w14:paraId="64C2E684" w14:textId="77777777" w:rsidR="0000756C" w:rsidRPr="007000C0" w:rsidRDefault="0000756C" w:rsidP="006621A9">
      <w:pPr>
        <w:pStyle w:val="Heading1"/>
        <w:spacing w:before="0" w:afterLines="40" w:after="96"/>
        <w:rPr>
          <w:rFonts w:ascii="IBM Plex Sans" w:hAnsi="IBM Plex Sans"/>
          <w:u w:val="single"/>
        </w:rPr>
      </w:pPr>
      <w:r w:rsidRPr="007000C0">
        <w:rPr>
          <w:rFonts w:ascii="IBM Plex Sans" w:hAnsi="IBM Plex Sans"/>
          <w:u w:val="single"/>
        </w:rPr>
        <w:t xml:space="preserve">Sample business scenarios to look </w:t>
      </w:r>
      <w:proofErr w:type="gramStart"/>
      <w:r w:rsidRPr="007000C0">
        <w:rPr>
          <w:rFonts w:ascii="IBM Plex Sans" w:hAnsi="IBM Plex Sans"/>
          <w:u w:val="single"/>
        </w:rPr>
        <w:t>for</w:t>
      </w:r>
      <w:proofErr w:type="gramEnd"/>
    </w:p>
    <w:p w14:paraId="043DDE3A" w14:textId="470BF992" w:rsidR="00DD38D9" w:rsidRDefault="00E1657D" w:rsidP="00D3361F">
      <w:pPr>
        <w:spacing w:afterLines="100" w:after="240"/>
        <w:rPr>
          <w:rFonts w:ascii="IBM Plex Sans Light" w:hAnsi="IBM Plex Sans Light"/>
          <w:i/>
          <w:sz w:val="28"/>
          <w:szCs w:val="28"/>
        </w:rPr>
      </w:pPr>
      <w:r w:rsidRPr="00253075">
        <w:rPr>
          <w:b/>
          <w:bCs/>
          <w:sz w:val="32"/>
          <w:szCs w:val="32"/>
        </w:rPr>
        <w:t>Banking:</w:t>
      </w:r>
      <w:r w:rsidRPr="00B52A94">
        <w:rPr>
          <w:b/>
          <w:bCs/>
          <w:sz w:val="32"/>
          <w:szCs w:val="32"/>
        </w:rPr>
        <w:t xml:space="preserve"> </w:t>
      </w:r>
      <w:r w:rsidR="00945DE1">
        <w:rPr>
          <w:rFonts w:ascii="IBM Plex Sans Light" w:hAnsi="IBM Plex Sans Light"/>
          <w:sz w:val="28"/>
          <w:szCs w:val="28"/>
        </w:rPr>
        <w:t xml:space="preserve">Account opening </w:t>
      </w:r>
      <w:r w:rsidR="00945DE1" w:rsidRPr="00B52A94">
        <w:rPr>
          <w:rFonts w:ascii="IBM Plex Sans Light" w:hAnsi="IBM Plex Sans Light"/>
          <w:sz w:val="28"/>
          <w:szCs w:val="28"/>
        </w:rPr>
        <w:t>|</w:t>
      </w:r>
      <w:r w:rsidR="00945DE1">
        <w:rPr>
          <w:rFonts w:ascii="IBM Plex Sans Light" w:hAnsi="IBM Plex Sans Light"/>
          <w:sz w:val="28"/>
          <w:szCs w:val="28"/>
        </w:rPr>
        <w:t xml:space="preserve"> Loan </w:t>
      </w:r>
      <w:r w:rsidR="00800BD1">
        <w:rPr>
          <w:rFonts w:ascii="IBM Plex Sans Light" w:hAnsi="IBM Plex Sans Light"/>
          <w:sz w:val="28"/>
          <w:szCs w:val="28"/>
        </w:rPr>
        <w:t xml:space="preserve">validation </w:t>
      </w:r>
    </w:p>
    <w:p w14:paraId="04F40D20" w14:textId="23E44AE7" w:rsidR="00D3361F" w:rsidRPr="00DD38D9" w:rsidRDefault="001C42CD" w:rsidP="00D3361F">
      <w:pPr>
        <w:spacing w:afterLines="100" w:after="240"/>
        <w:rPr>
          <w:rFonts w:ascii="IBM Plex Sans Light" w:hAnsi="IBM Plex Sans Light"/>
          <w:i/>
          <w:sz w:val="28"/>
          <w:szCs w:val="28"/>
        </w:rPr>
      </w:pPr>
      <w:r w:rsidRPr="00B56C83">
        <w:rPr>
          <w:b/>
          <w:bCs/>
          <w:sz w:val="32"/>
          <w:szCs w:val="32"/>
        </w:rPr>
        <w:t>Insurance:</w:t>
      </w:r>
      <w:r w:rsidRPr="00B52A94">
        <w:rPr>
          <w:b/>
          <w:bCs/>
          <w:sz w:val="32"/>
          <w:szCs w:val="32"/>
        </w:rPr>
        <w:t xml:space="preserve"> </w:t>
      </w:r>
      <w:r w:rsidR="000F6710" w:rsidRPr="00B52A94">
        <w:rPr>
          <w:rFonts w:ascii="IBM Plex Sans Light" w:hAnsi="IBM Plex Sans Light"/>
          <w:sz w:val="28"/>
          <w:szCs w:val="28"/>
        </w:rPr>
        <w:t xml:space="preserve">Claims </w:t>
      </w:r>
      <w:r w:rsidR="00945DE1">
        <w:rPr>
          <w:rFonts w:ascii="IBM Plex Sans Light" w:hAnsi="IBM Plex Sans Light"/>
          <w:sz w:val="28"/>
          <w:szCs w:val="28"/>
        </w:rPr>
        <w:t>management</w:t>
      </w:r>
      <w:r w:rsidR="00B71E68" w:rsidRPr="00B52A94">
        <w:rPr>
          <w:rFonts w:ascii="IBM Plex Sans Light" w:hAnsi="IBM Plex Sans Light"/>
          <w:sz w:val="28"/>
          <w:szCs w:val="28"/>
        </w:rPr>
        <w:t xml:space="preserve"> </w:t>
      </w:r>
    </w:p>
    <w:p w14:paraId="1C173833" w14:textId="5C27C2E6" w:rsidR="00945DE1" w:rsidRDefault="00C2240F" w:rsidP="00D3361F">
      <w:pPr>
        <w:spacing w:afterLines="100" w:after="240"/>
        <w:rPr>
          <w:rFonts w:ascii="IBM Plex Sans Light" w:hAnsi="IBM Plex Sans Light"/>
          <w:sz w:val="28"/>
          <w:szCs w:val="28"/>
        </w:rPr>
      </w:pPr>
      <w:r w:rsidRPr="00B56C83">
        <w:rPr>
          <w:b/>
          <w:bCs/>
          <w:sz w:val="32"/>
          <w:szCs w:val="32"/>
        </w:rPr>
        <w:t>Retail:</w:t>
      </w:r>
      <w:r w:rsidRPr="00B52A94">
        <w:rPr>
          <w:b/>
          <w:bCs/>
          <w:sz w:val="32"/>
          <w:szCs w:val="32"/>
        </w:rPr>
        <w:t xml:space="preserve"> </w:t>
      </w:r>
      <w:r w:rsidR="00800BD1">
        <w:rPr>
          <w:rFonts w:ascii="IBM Plex Sans Light" w:hAnsi="IBM Plex Sans Light"/>
          <w:sz w:val="28"/>
          <w:szCs w:val="28"/>
        </w:rPr>
        <w:t>Return</w:t>
      </w:r>
      <w:r w:rsidR="00945DE1">
        <w:rPr>
          <w:rFonts w:ascii="IBM Plex Sans Light" w:hAnsi="IBM Plex Sans Light"/>
          <w:sz w:val="28"/>
          <w:szCs w:val="28"/>
        </w:rPr>
        <w:t xml:space="preserve"> management</w:t>
      </w:r>
      <w:r w:rsidR="00F45A61" w:rsidRPr="00B52A94">
        <w:rPr>
          <w:rFonts w:ascii="IBM Plex Sans Light" w:hAnsi="IBM Plex Sans Light"/>
          <w:sz w:val="28"/>
          <w:szCs w:val="28"/>
        </w:rPr>
        <w:t xml:space="preserve"> |</w:t>
      </w:r>
      <w:r w:rsidRPr="00B52A94">
        <w:rPr>
          <w:rFonts w:ascii="IBM Plex Sans Light" w:hAnsi="IBM Plex Sans Light"/>
          <w:sz w:val="28"/>
          <w:szCs w:val="28"/>
        </w:rPr>
        <w:t xml:space="preserve"> </w:t>
      </w:r>
      <w:r w:rsidR="00945DE1">
        <w:rPr>
          <w:rFonts w:ascii="IBM Plex Sans Light" w:hAnsi="IBM Plex Sans Light"/>
          <w:sz w:val="28"/>
          <w:szCs w:val="28"/>
        </w:rPr>
        <w:t>Order approvals</w:t>
      </w:r>
      <w:r w:rsidR="00D5003B" w:rsidRPr="00B52A94">
        <w:rPr>
          <w:rFonts w:ascii="IBM Plex Sans Light" w:hAnsi="IBM Plex Sans Light"/>
          <w:sz w:val="28"/>
          <w:szCs w:val="28"/>
        </w:rPr>
        <w:t xml:space="preserve"> </w:t>
      </w:r>
    </w:p>
    <w:p w14:paraId="6878CE1C" w14:textId="5CB84AFA" w:rsidR="00D3361F" w:rsidRPr="0094264A" w:rsidRDefault="00800BD1" w:rsidP="00D3361F">
      <w:pPr>
        <w:spacing w:afterLines="100" w:after="240"/>
        <w:rPr>
          <w:rFonts w:ascii="IBM Plex Sans Light" w:hAnsi="IBM Plex Sans Light"/>
          <w:sz w:val="28"/>
          <w:szCs w:val="28"/>
        </w:rPr>
      </w:pPr>
      <w:r>
        <w:rPr>
          <w:b/>
          <w:bCs/>
          <w:sz w:val="32"/>
          <w:szCs w:val="32"/>
        </w:rPr>
        <w:t>Government</w:t>
      </w:r>
      <w:r w:rsidR="00452EF4" w:rsidRPr="00B56C83">
        <w:rPr>
          <w:b/>
          <w:bCs/>
          <w:sz w:val="32"/>
          <w:szCs w:val="32"/>
        </w:rPr>
        <w:t>:</w:t>
      </w:r>
      <w:r w:rsidR="00452EF4" w:rsidRPr="00B52A94">
        <w:rPr>
          <w:b/>
          <w:bCs/>
          <w:sz w:val="32"/>
          <w:szCs w:val="32"/>
        </w:rPr>
        <w:t xml:space="preserve"> </w:t>
      </w:r>
      <w:r>
        <w:rPr>
          <w:rFonts w:ascii="IBM Plex Sans Light" w:hAnsi="IBM Plex Sans Light"/>
          <w:sz w:val="28"/>
          <w:szCs w:val="28"/>
        </w:rPr>
        <w:t xml:space="preserve">Task management </w:t>
      </w:r>
      <w:r w:rsidRPr="00B52A94">
        <w:rPr>
          <w:rFonts w:ascii="IBM Plex Sans Light" w:hAnsi="IBM Plex Sans Light"/>
          <w:sz w:val="28"/>
          <w:szCs w:val="28"/>
        </w:rPr>
        <w:t>|</w:t>
      </w:r>
      <w:r>
        <w:rPr>
          <w:rFonts w:ascii="IBM Plex Sans Light" w:hAnsi="IBM Plex Sans Light"/>
          <w:sz w:val="28"/>
          <w:szCs w:val="28"/>
        </w:rPr>
        <w:t xml:space="preserve"> Citizen </w:t>
      </w:r>
      <w:r w:rsidR="0094264A">
        <w:rPr>
          <w:rFonts w:ascii="IBM Plex Sans Light" w:hAnsi="IBM Plex Sans Light"/>
          <w:sz w:val="28"/>
          <w:szCs w:val="28"/>
        </w:rPr>
        <w:t xml:space="preserve">guichet </w:t>
      </w:r>
      <w:r>
        <w:rPr>
          <w:rFonts w:ascii="IBM Plex Sans Light" w:hAnsi="IBM Plex Sans Light"/>
          <w:sz w:val="28"/>
          <w:szCs w:val="28"/>
        </w:rPr>
        <w:t xml:space="preserve"> </w:t>
      </w:r>
    </w:p>
    <w:sectPr w:rsidR="00D3361F" w:rsidRPr="0094264A" w:rsidSect="00DD38D9">
      <w:pgSz w:w="12240" w:h="15840"/>
      <w:pgMar w:top="1034" w:right="1440" w:bottom="10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.AppleSystemUIFon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Sans Light">
    <w:panose1 w:val="020B0403050203000203"/>
    <w:charset w:val="00"/>
    <w:family w:val="swiss"/>
    <w:pitch w:val="variable"/>
    <w:sig w:usb0="A00002EF" w:usb1="5000207B" w:usb2="00000000" w:usb3="00000000" w:csb0="0000019F" w:csb1="00000000"/>
  </w:font>
  <w:font w:name="IBM Plex Sans SemiBold">
    <w:panose1 w:val="020B0703050203000203"/>
    <w:charset w:val="00"/>
    <w:family w:val="swiss"/>
    <w:pitch w:val="variable"/>
    <w:sig w:usb0="A00002EF" w:usb1="5000207B" w:usb2="00000000" w:usb3="00000000" w:csb0="0000019F" w:csb1="00000000"/>
  </w:font>
  <w:font w:name="IBM Plex Sans">
    <w:altName w:val="IBM Plex Sans"/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B0A"/>
    <w:multiLevelType w:val="hybridMultilevel"/>
    <w:tmpl w:val="C42ED07C"/>
    <w:lvl w:ilvl="0" w:tplc="35403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78D9"/>
    <w:multiLevelType w:val="multilevel"/>
    <w:tmpl w:val="D812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22CA7"/>
    <w:multiLevelType w:val="hybridMultilevel"/>
    <w:tmpl w:val="7C343686"/>
    <w:lvl w:ilvl="0" w:tplc="431AB1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20826A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20BAD5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FC26D8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028062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E56034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4108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FC0A9B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2B9413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3" w15:restartNumberingAfterBreak="0">
    <w:nsid w:val="152A1E13"/>
    <w:multiLevelType w:val="hybridMultilevel"/>
    <w:tmpl w:val="B0F682E2"/>
    <w:lvl w:ilvl="0" w:tplc="35403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30907"/>
    <w:multiLevelType w:val="hybridMultilevel"/>
    <w:tmpl w:val="DEAADC7A"/>
    <w:lvl w:ilvl="0" w:tplc="3540351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587E93"/>
    <w:multiLevelType w:val="hybridMultilevel"/>
    <w:tmpl w:val="4ECEA75C"/>
    <w:lvl w:ilvl="0" w:tplc="1AE2B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24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0E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E1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2AA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02F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07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6B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5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7C5CA9"/>
    <w:multiLevelType w:val="multilevel"/>
    <w:tmpl w:val="133AF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217D7"/>
    <w:multiLevelType w:val="hybridMultilevel"/>
    <w:tmpl w:val="8006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1740A"/>
    <w:multiLevelType w:val="hybridMultilevel"/>
    <w:tmpl w:val="0C12906C"/>
    <w:lvl w:ilvl="0" w:tplc="E5801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CF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2A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C7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6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4D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E9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8F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C1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D7F196D"/>
    <w:multiLevelType w:val="hybridMultilevel"/>
    <w:tmpl w:val="B85AE09E"/>
    <w:lvl w:ilvl="0" w:tplc="07407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43DFD"/>
    <w:multiLevelType w:val="hybridMultilevel"/>
    <w:tmpl w:val="97286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146A95"/>
    <w:multiLevelType w:val="multilevel"/>
    <w:tmpl w:val="6156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3263D"/>
    <w:multiLevelType w:val="hybridMultilevel"/>
    <w:tmpl w:val="63FC5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B41261"/>
    <w:multiLevelType w:val="multilevel"/>
    <w:tmpl w:val="A584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E76CF"/>
    <w:multiLevelType w:val="multilevel"/>
    <w:tmpl w:val="558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9713B"/>
    <w:multiLevelType w:val="hybridMultilevel"/>
    <w:tmpl w:val="7EDE68C0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16" w15:restartNumberingAfterBreak="0">
    <w:nsid w:val="50046DC5"/>
    <w:multiLevelType w:val="hybridMultilevel"/>
    <w:tmpl w:val="D9B0C2C4"/>
    <w:lvl w:ilvl="0" w:tplc="35403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D7366"/>
    <w:multiLevelType w:val="multilevel"/>
    <w:tmpl w:val="E74A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314341"/>
    <w:multiLevelType w:val="hybridMultilevel"/>
    <w:tmpl w:val="D43ECDFE"/>
    <w:lvl w:ilvl="0" w:tplc="24728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A37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C0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B0E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40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23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56D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84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1A5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EAD2E22"/>
    <w:multiLevelType w:val="hybridMultilevel"/>
    <w:tmpl w:val="2E802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A81C8F"/>
    <w:multiLevelType w:val="multilevel"/>
    <w:tmpl w:val="B2D6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801B4"/>
    <w:multiLevelType w:val="hybridMultilevel"/>
    <w:tmpl w:val="064CD2EA"/>
    <w:lvl w:ilvl="0" w:tplc="35403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837625">
    <w:abstractNumId w:val="7"/>
  </w:num>
  <w:num w:numId="2" w16cid:durableId="1335524033">
    <w:abstractNumId w:val="9"/>
  </w:num>
  <w:num w:numId="3" w16cid:durableId="1971469579">
    <w:abstractNumId w:val="3"/>
  </w:num>
  <w:num w:numId="4" w16cid:durableId="210507652">
    <w:abstractNumId w:val="5"/>
  </w:num>
  <w:num w:numId="5" w16cid:durableId="646055915">
    <w:abstractNumId w:val="0"/>
  </w:num>
  <w:num w:numId="6" w16cid:durableId="1269312871">
    <w:abstractNumId w:val="21"/>
  </w:num>
  <w:num w:numId="7" w16cid:durableId="791097322">
    <w:abstractNumId w:val="16"/>
  </w:num>
  <w:num w:numId="8" w16cid:durableId="70587199">
    <w:abstractNumId w:val="4"/>
  </w:num>
  <w:num w:numId="9" w16cid:durableId="138427456">
    <w:abstractNumId w:val="19"/>
  </w:num>
  <w:num w:numId="10" w16cid:durableId="1941373285">
    <w:abstractNumId w:val="10"/>
  </w:num>
  <w:num w:numId="11" w16cid:durableId="797602787">
    <w:abstractNumId w:val="18"/>
  </w:num>
  <w:num w:numId="12" w16cid:durableId="395469091">
    <w:abstractNumId w:val="8"/>
  </w:num>
  <w:num w:numId="13" w16cid:durableId="191724677">
    <w:abstractNumId w:val="2"/>
  </w:num>
  <w:num w:numId="14" w16cid:durableId="1030691072">
    <w:abstractNumId w:val="15"/>
  </w:num>
  <w:num w:numId="15" w16cid:durableId="1006592807">
    <w:abstractNumId w:val="13"/>
  </w:num>
  <w:num w:numId="16" w16cid:durableId="304546732">
    <w:abstractNumId w:val="6"/>
  </w:num>
  <w:num w:numId="17" w16cid:durableId="883523423">
    <w:abstractNumId w:val="20"/>
  </w:num>
  <w:num w:numId="18" w16cid:durableId="516118341">
    <w:abstractNumId w:val="12"/>
  </w:num>
  <w:num w:numId="19" w16cid:durableId="1151826547">
    <w:abstractNumId w:val="14"/>
  </w:num>
  <w:num w:numId="20" w16cid:durableId="1769157210">
    <w:abstractNumId w:val="11"/>
  </w:num>
  <w:num w:numId="21" w16cid:durableId="1548295524">
    <w:abstractNumId w:val="17"/>
  </w:num>
  <w:num w:numId="22" w16cid:durableId="48354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0D"/>
    <w:rsid w:val="0000756C"/>
    <w:rsid w:val="000135B8"/>
    <w:rsid w:val="00013A3B"/>
    <w:rsid w:val="0007187D"/>
    <w:rsid w:val="000B2037"/>
    <w:rsid w:val="000D1C65"/>
    <w:rsid w:val="000E15C0"/>
    <w:rsid w:val="000F6710"/>
    <w:rsid w:val="00110579"/>
    <w:rsid w:val="00112270"/>
    <w:rsid w:val="00113860"/>
    <w:rsid w:val="001356DC"/>
    <w:rsid w:val="00150A59"/>
    <w:rsid w:val="00155601"/>
    <w:rsid w:val="001645C6"/>
    <w:rsid w:val="00176A0E"/>
    <w:rsid w:val="001C42CD"/>
    <w:rsid w:val="001E43C5"/>
    <w:rsid w:val="001F619C"/>
    <w:rsid w:val="002108E9"/>
    <w:rsid w:val="00237182"/>
    <w:rsid w:val="00245535"/>
    <w:rsid w:val="00253075"/>
    <w:rsid w:val="002621CE"/>
    <w:rsid w:val="00283FD0"/>
    <w:rsid w:val="002852ED"/>
    <w:rsid w:val="00330EFA"/>
    <w:rsid w:val="003C52F4"/>
    <w:rsid w:val="003D5978"/>
    <w:rsid w:val="003D6C0E"/>
    <w:rsid w:val="004072DF"/>
    <w:rsid w:val="004415BC"/>
    <w:rsid w:val="00452EF4"/>
    <w:rsid w:val="00487013"/>
    <w:rsid w:val="004D515A"/>
    <w:rsid w:val="004E3620"/>
    <w:rsid w:val="0051058B"/>
    <w:rsid w:val="0054181E"/>
    <w:rsid w:val="00561E1A"/>
    <w:rsid w:val="00582AEF"/>
    <w:rsid w:val="00586612"/>
    <w:rsid w:val="005C29E2"/>
    <w:rsid w:val="005C44F7"/>
    <w:rsid w:val="005E1C3C"/>
    <w:rsid w:val="00612F60"/>
    <w:rsid w:val="00614CB7"/>
    <w:rsid w:val="006241A4"/>
    <w:rsid w:val="00642063"/>
    <w:rsid w:val="00660F32"/>
    <w:rsid w:val="006621A9"/>
    <w:rsid w:val="0068153B"/>
    <w:rsid w:val="00687A43"/>
    <w:rsid w:val="006D66B7"/>
    <w:rsid w:val="006D6DE3"/>
    <w:rsid w:val="006E3DBA"/>
    <w:rsid w:val="00737F28"/>
    <w:rsid w:val="0074322F"/>
    <w:rsid w:val="00793D83"/>
    <w:rsid w:val="007A593C"/>
    <w:rsid w:val="007D4886"/>
    <w:rsid w:val="007E5961"/>
    <w:rsid w:val="00800BD1"/>
    <w:rsid w:val="00805A74"/>
    <w:rsid w:val="0081329E"/>
    <w:rsid w:val="00841CB9"/>
    <w:rsid w:val="00854A9E"/>
    <w:rsid w:val="008D553E"/>
    <w:rsid w:val="008E7FE9"/>
    <w:rsid w:val="008E7FFE"/>
    <w:rsid w:val="00923664"/>
    <w:rsid w:val="0094264A"/>
    <w:rsid w:val="009430B1"/>
    <w:rsid w:val="009438C8"/>
    <w:rsid w:val="00945DE1"/>
    <w:rsid w:val="00967804"/>
    <w:rsid w:val="0097061A"/>
    <w:rsid w:val="00977BB4"/>
    <w:rsid w:val="00992F07"/>
    <w:rsid w:val="009B24FA"/>
    <w:rsid w:val="009C1252"/>
    <w:rsid w:val="009F3572"/>
    <w:rsid w:val="00A47770"/>
    <w:rsid w:val="00AB34F2"/>
    <w:rsid w:val="00AC20FD"/>
    <w:rsid w:val="00AE48F6"/>
    <w:rsid w:val="00B318DF"/>
    <w:rsid w:val="00B32DCB"/>
    <w:rsid w:val="00B52A94"/>
    <w:rsid w:val="00B53175"/>
    <w:rsid w:val="00B56C83"/>
    <w:rsid w:val="00B57053"/>
    <w:rsid w:val="00B6676E"/>
    <w:rsid w:val="00B71E68"/>
    <w:rsid w:val="00B84C92"/>
    <w:rsid w:val="00BC10C0"/>
    <w:rsid w:val="00BF16FA"/>
    <w:rsid w:val="00BF5CE6"/>
    <w:rsid w:val="00C03090"/>
    <w:rsid w:val="00C2240F"/>
    <w:rsid w:val="00C43FA1"/>
    <w:rsid w:val="00C9647E"/>
    <w:rsid w:val="00CA351B"/>
    <w:rsid w:val="00D0360D"/>
    <w:rsid w:val="00D06E2F"/>
    <w:rsid w:val="00D13A06"/>
    <w:rsid w:val="00D21F45"/>
    <w:rsid w:val="00D3361F"/>
    <w:rsid w:val="00D41E46"/>
    <w:rsid w:val="00D5003B"/>
    <w:rsid w:val="00D53BFF"/>
    <w:rsid w:val="00D65C5A"/>
    <w:rsid w:val="00D8220C"/>
    <w:rsid w:val="00DA2B54"/>
    <w:rsid w:val="00DC38ED"/>
    <w:rsid w:val="00DD0B6D"/>
    <w:rsid w:val="00DD38D9"/>
    <w:rsid w:val="00DE43B2"/>
    <w:rsid w:val="00DE4929"/>
    <w:rsid w:val="00E04608"/>
    <w:rsid w:val="00E1657D"/>
    <w:rsid w:val="00E633AE"/>
    <w:rsid w:val="00E73558"/>
    <w:rsid w:val="00E86E26"/>
    <w:rsid w:val="00EB56EE"/>
    <w:rsid w:val="00ED2732"/>
    <w:rsid w:val="00ED51D5"/>
    <w:rsid w:val="00EE0561"/>
    <w:rsid w:val="00F45A61"/>
    <w:rsid w:val="00F46408"/>
    <w:rsid w:val="00F523B0"/>
    <w:rsid w:val="00F82348"/>
    <w:rsid w:val="00FC27B6"/>
    <w:rsid w:val="00FD4585"/>
    <w:rsid w:val="79F2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130CC"/>
  <w15:chartTrackingRefBased/>
  <w15:docId w15:val="{8086B0C2-9752-1245-BDFE-B2336A08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FE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5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6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0A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5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7FE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Revision">
    <w:name w:val="Revision"/>
    <w:hidden/>
    <w:uiPriority w:val="99"/>
    <w:semiHidden/>
    <w:rsid w:val="00582AEF"/>
  </w:style>
  <w:style w:type="character" w:styleId="CommentReference">
    <w:name w:val="annotation reference"/>
    <w:basedOn w:val="DefaultParagraphFont"/>
    <w:uiPriority w:val="99"/>
    <w:semiHidden/>
    <w:unhideWhenUsed/>
    <w:rsid w:val="00EE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5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56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357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436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956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1763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3327">
          <w:marLeft w:val="72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4665">
          <w:marLeft w:val="72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6670">
          <w:marLeft w:val="72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0926">
          <w:marLeft w:val="126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2373">
          <w:marLeft w:val="126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Leibowitz</dc:creator>
  <cp:keywords/>
  <dc:description/>
  <cp:lastModifiedBy>Laurent Tarin</cp:lastModifiedBy>
  <cp:revision>2</cp:revision>
  <dcterms:created xsi:type="dcterms:W3CDTF">2023-11-03T14:25:00Z</dcterms:created>
  <dcterms:modified xsi:type="dcterms:W3CDTF">2023-11-03T14:25:00Z</dcterms:modified>
</cp:coreProperties>
</file>