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820483" w14:textId="7B73B929" w:rsidR="000823A4" w:rsidRDefault="00636BD5">
      <w:pPr>
        <w:spacing w:after="120"/>
        <w:jc w:val="center"/>
      </w:pPr>
      <w:r>
        <w:rPr>
          <w:rFonts w:ascii="Calibri" w:hAnsi="Calibri"/>
          <w:b/>
          <w:color w:val="0062FF"/>
          <w:sz w:val="40"/>
        </w:rPr>
        <w:t>VANTARA BANK</w:t>
      </w:r>
    </w:p>
    <w:p w14:paraId="73F3C265" w14:textId="77777777" w:rsidR="000823A4" w:rsidRDefault="000823A4"/>
    <w:p w14:paraId="69758E5B" w14:textId="77777777" w:rsidR="000823A4" w:rsidRDefault="00000000">
      <w:pPr>
        <w:spacing w:after="120"/>
        <w:jc w:val="center"/>
      </w:pPr>
      <w:r>
        <w:rPr>
          <w:rFonts w:ascii="Calibri" w:hAnsi="Calibri"/>
          <w:sz w:val="28"/>
        </w:rPr>
        <w:t>Internal Audit Summary Report</w:t>
      </w:r>
    </w:p>
    <w:p w14:paraId="5DE3336A" w14:textId="4EE371DE" w:rsidR="000823A4" w:rsidRDefault="00000000">
      <w:pPr>
        <w:spacing w:after="120"/>
        <w:jc w:val="center"/>
      </w:pPr>
      <w:r>
        <w:rPr>
          <w:rFonts w:ascii="Calibri" w:hAnsi="Calibri"/>
        </w:rPr>
        <w:t xml:space="preserve">Q3 </w:t>
      </w:r>
      <w:proofErr w:type="gramStart"/>
      <w:r>
        <w:rPr>
          <w:rFonts w:ascii="Calibri" w:hAnsi="Calibri"/>
        </w:rPr>
        <w:t>202</w:t>
      </w:r>
      <w:r w:rsidR="00636BD5">
        <w:rPr>
          <w:rFonts w:ascii="Calibri" w:hAnsi="Calibri"/>
        </w:rPr>
        <w:t>6</w:t>
      </w:r>
      <w:r>
        <w:rPr>
          <w:rFonts w:ascii="Calibri" w:hAnsi="Calibri"/>
        </w:rPr>
        <w:t xml:space="preserve">  ·</w:t>
      </w:r>
      <w:proofErr w:type="gramEnd"/>
      <w:r>
        <w:rPr>
          <w:rFonts w:ascii="Calibri" w:hAnsi="Calibri"/>
        </w:rPr>
        <w:t xml:space="preserve">  Period Ending 30 September 202</w:t>
      </w:r>
      <w:r w:rsidR="00636BD5">
        <w:rPr>
          <w:rFonts w:ascii="Calibri" w:hAnsi="Calibri"/>
        </w:rPr>
        <w:t>6</w:t>
      </w:r>
    </w:p>
    <w:p w14:paraId="70385B19" w14:textId="77777777" w:rsidR="000823A4" w:rsidRDefault="000823A4"/>
    <w:tbl>
      <w:tblPr>
        <w:tblW w:w="0" w:type="auto"/>
        <w:jc w:val="center"/>
        <w:tblLook w:val="04A0" w:firstRow="1" w:lastRow="0" w:firstColumn="1" w:lastColumn="0" w:noHBand="0" w:noVBand="1"/>
      </w:tblPr>
      <w:tblGrid>
        <w:gridCol w:w="2551"/>
        <w:gridCol w:w="6803"/>
      </w:tblGrid>
      <w:tr w:rsidR="000823A4" w14:paraId="3FC1447D" w14:textId="77777777">
        <w:trPr>
          <w:jc w:val="center"/>
        </w:trPr>
        <w:tc>
          <w:tcPr>
            <w:tcW w:w="2551" w:type="dxa"/>
          </w:tcPr>
          <w:p w14:paraId="3D0BB602" w14:textId="77777777" w:rsidR="000823A4" w:rsidRDefault="00000000">
            <w:r>
              <w:rPr>
                <w:rFonts w:ascii="Calibri" w:hAnsi="Calibri"/>
                <w:b/>
                <w:color w:val="0062FF"/>
                <w:sz w:val="18"/>
              </w:rPr>
              <w:t>Report Reference:</w:t>
            </w:r>
          </w:p>
        </w:tc>
        <w:tc>
          <w:tcPr>
            <w:tcW w:w="6803" w:type="dxa"/>
          </w:tcPr>
          <w:p w14:paraId="0552422C" w14:textId="3F6B099E" w:rsidR="000823A4" w:rsidRDefault="00000000">
            <w:r>
              <w:rPr>
                <w:rFonts w:ascii="Calibri" w:hAnsi="Calibri"/>
                <w:sz w:val="18"/>
              </w:rPr>
              <w:t>IA-</w:t>
            </w:r>
            <w:r w:rsidR="00636BD5">
              <w:rPr>
                <w:rFonts w:ascii="Calibri" w:hAnsi="Calibri"/>
                <w:sz w:val="18"/>
              </w:rPr>
              <w:t>VAB</w:t>
            </w:r>
            <w:r>
              <w:rPr>
                <w:rFonts w:ascii="Calibri" w:hAnsi="Calibri"/>
                <w:sz w:val="18"/>
              </w:rPr>
              <w:t>-Q3-202</w:t>
            </w:r>
            <w:r w:rsidR="00636BD5">
              <w:rPr>
                <w:rFonts w:ascii="Calibri" w:hAnsi="Calibri"/>
                <w:sz w:val="18"/>
              </w:rPr>
              <w:t>6</w:t>
            </w:r>
            <w:r>
              <w:rPr>
                <w:rFonts w:ascii="Calibri" w:hAnsi="Calibri"/>
                <w:sz w:val="18"/>
              </w:rPr>
              <w:t>-007</w:t>
            </w:r>
          </w:p>
        </w:tc>
      </w:tr>
      <w:tr w:rsidR="000823A4" w14:paraId="3099B445" w14:textId="77777777">
        <w:trPr>
          <w:jc w:val="center"/>
        </w:trPr>
        <w:tc>
          <w:tcPr>
            <w:tcW w:w="2551" w:type="dxa"/>
          </w:tcPr>
          <w:p w14:paraId="746D3338" w14:textId="77777777" w:rsidR="000823A4" w:rsidRDefault="00000000">
            <w:r>
              <w:rPr>
                <w:rFonts w:ascii="Calibri" w:hAnsi="Calibri"/>
                <w:b/>
                <w:color w:val="0062FF"/>
                <w:sz w:val="18"/>
              </w:rPr>
              <w:t>Classification:</w:t>
            </w:r>
          </w:p>
        </w:tc>
        <w:tc>
          <w:tcPr>
            <w:tcW w:w="6803" w:type="dxa"/>
          </w:tcPr>
          <w:p w14:paraId="1C52D3F2" w14:textId="77777777" w:rsidR="000823A4" w:rsidRDefault="00000000">
            <w:r>
              <w:rPr>
                <w:rFonts w:ascii="Calibri" w:hAnsi="Calibri"/>
                <w:sz w:val="18"/>
              </w:rPr>
              <w:t>Internal — Restricted</w:t>
            </w:r>
          </w:p>
        </w:tc>
      </w:tr>
      <w:tr w:rsidR="000823A4" w14:paraId="4C62EEC3" w14:textId="77777777">
        <w:trPr>
          <w:jc w:val="center"/>
        </w:trPr>
        <w:tc>
          <w:tcPr>
            <w:tcW w:w="2551" w:type="dxa"/>
          </w:tcPr>
          <w:p w14:paraId="13A58E3D" w14:textId="77777777" w:rsidR="000823A4" w:rsidRDefault="00000000">
            <w:r>
              <w:rPr>
                <w:rFonts w:ascii="Calibri" w:hAnsi="Calibri"/>
                <w:b/>
                <w:color w:val="0062FF"/>
                <w:sz w:val="18"/>
              </w:rPr>
              <w:t>Prepared by:</w:t>
            </w:r>
          </w:p>
        </w:tc>
        <w:tc>
          <w:tcPr>
            <w:tcW w:w="6803" w:type="dxa"/>
          </w:tcPr>
          <w:p w14:paraId="514E8576" w14:textId="77777777" w:rsidR="000823A4" w:rsidRDefault="00000000">
            <w:r>
              <w:rPr>
                <w:rFonts w:ascii="Calibri" w:hAnsi="Calibri"/>
                <w:sz w:val="18"/>
              </w:rPr>
              <w:t>Internal Audit Division</w:t>
            </w:r>
          </w:p>
        </w:tc>
      </w:tr>
      <w:tr w:rsidR="000823A4" w14:paraId="1923ED1E" w14:textId="77777777">
        <w:trPr>
          <w:jc w:val="center"/>
        </w:trPr>
        <w:tc>
          <w:tcPr>
            <w:tcW w:w="2551" w:type="dxa"/>
          </w:tcPr>
          <w:p w14:paraId="0A6E8217" w14:textId="77777777" w:rsidR="000823A4" w:rsidRDefault="00000000">
            <w:r>
              <w:rPr>
                <w:rFonts w:ascii="Calibri" w:hAnsi="Calibri"/>
                <w:b/>
                <w:color w:val="0062FF"/>
                <w:sz w:val="18"/>
              </w:rPr>
              <w:t>Reviewed by:</w:t>
            </w:r>
          </w:p>
        </w:tc>
        <w:tc>
          <w:tcPr>
            <w:tcW w:w="6803" w:type="dxa"/>
          </w:tcPr>
          <w:p w14:paraId="4C815843" w14:textId="77777777" w:rsidR="000823A4" w:rsidRDefault="00000000">
            <w:r>
              <w:rPr>
                <w:rFonts w:ascii="Calibri" w:hAnsi="Calibri"/>
                <w:sz w:val="18"/>
              </w:rPr>
              <w:t>Chief Audit Executive — Sandra L. Morrow, CIA, CISA</w:t>
            </w:r>
          </w:p>
        </w:tc>
      </w:tr>
      <w:tr w:rsidR="000823A4" w14:paraId="632D4652" w14:textId="77777777">
        <w:trPr>
          <w:jc w:val="center"/>
        </w:trPr>
        <w:tc>
          <w:tcPr>
            <w:tcW w:w="2551" w:type="dxa"/>
          </w:tcPr>
          <w:p w14:paraId="124C4529" w14:textId="77777777" w:rsidR="000823A4" w:rsidRDefault="00000000">
            <w:r>
              <w:rPr>
                <w:rFonts w:ascii="Calibri" w:hAnsi="Calibri"/>
                <w:b/>
                <w:color w:val="0062FF"/>
                <w:sz w:val="18"/>
              </w:rPr>
              <w:t>Distributed to:</w:t>
            </w:r>
          </w:p>
        </w:tc>
        <w:tc>
          <w:tcPr>
            <w:tcW w:w="6803" w:type="dxa"/>
          </w:tcPr>
          <w:p w14:paraId="1305DE49" w14:textId="77777777" w:rsidR="000823A4" w:rsidRDefault="00000000">
            <w:r>
              <w:rPr>
                <w:rFonts w:ascii="Calibri" w:hAnsi="Calibri"/>
                <w:sz w:val="18"/>
              </w:rPr>
              <w:t>Audit Committee, Chief Risk Officer, Chief Executive Officer</w:t>
            </w:r>
          </w:p>
        </w:tc>
      </w:tr>
      <w:tr w:rsidR="000823A4" w14:paraId="77708BA4" w14:textId="77777777">
        <w:trPr>
          <w:jc w:val="center"/>
        </w:trPr>
        <w:tc>
          <w:tcPr>
            <w:tcW w:w="2551" w:type="dxa"/>
          </w:tcPr>
          <w:p w14:paraId="5AEFB3A5" w14:textId="77777777" w:rsidR="000823A4" w:rsidRDefault="00000000">
            <w:r>
              <w:rPr>
                <w:rFonts w:ascii="Calibri" w:hAnsi="Calibri"/>
                <w:b/>
                <w:color w:val="0062FF"/>
                <w:sz w:val="18"/>
              </w:rPr>
              <w:t>Sign-off Date:</w:t>
            </w:r>
          </w:p>
        </w:tc>
        <w:tc>
          <w:tcPr>
            <w:tcW w:w="6803" w:type="dxa"/>
          </w:tcPr>
          <w:p w14:paraId="38CBA472" w14:textId="6C13E652" w:rsidR="000823A4" w:rsidRDefault="00000000">
            <w:r>
              <w:rPr>
                <w:rFonts w:ascii="Calibri" w:hAnsi="Calibri"/>
                <w:sz w:val="18"/>
              </w:rPr>
              <w:t>202</w:t>
            </w:r>
            <w:r w:rsidR="00636BD5">
              <w:rPr>
                <w:rFonts w:ascii="Calibri" w:hAnsi="Calibri"/>
                <w:sz w:val="18"/>
              </w:rPr>
              <w:t>6</w:t>
            </w:r>
            <w:r>
              <w:rPr>
                <w:rFonts w:ascii="Calibri" w:hAnsi="Calibri"/>
                <w:sz w:val="18"/>
              </w:rPr>
              <w:t>-10-15</w:t>
            </w:r>
          </w:p>
        </w:tc>
      </w:tr>
    </w:tbl>
    <w:p w14:paraId="33AA17CD" w14:textId="77777777" w:rsidR="000823A4" w:rsidRDefault="000823A4"/>
    <w:p w14:paraId="1F5FEBAA" w14:textId="77777777" w:rsidR="000823A4" w:rsidRDefault="00000000">
      <w:pPr>
        <w:pStyle w:val="Heading1"/>
      </w:pPr>
      <w:r>
        <w:rPr>
          <w:rFonts w:ascii="Calibri" w:hAnsi="Calibri"/>
          <w:color w:val="0062FF"/>
          <w:sz w:val="32"/>
        </w:rPr>
        <w:t>1. Scope and Objectives</w:t>
      </w:r>
    </w:p>
    <w:p w14:paraId="3DE0AA94" w14:textId="0F8EDA1A" w:rsidR="000823A4" w:rsidRDefault="00000000">
      <w:pPr>
        <w:spacing w:after="120"/>
      </w:pPr>
      <w:r>
        <w:rPr>
          <w:rFonts w:ascii="Calibri" w:hAnsi="Calibri"/>
          <w:sz w:val="20"/>
        </w:rPr>
        <w:t>This Internal Audit Summary Report covers the findings of the Q3 202</w:t>
      </w:r>
      <w:r w:rsidR="00636BD5">
        <w:rPr>
          <w:rFonts w:ascii="Calibri" w:hAnsi="Calibri"/>
          <w:sz w:val="20"/>
        </w:rPr>
        <w:t>6</w:t>
      </w:r>
      <w:r>
        <w:rPr>
          <w:rFonts w:ascii="Calibri" w:hAnsi="Calibri"/>
          <w:sz w:val="20"/>
        </w:rPr>
        <w:t xml:space="preserve"> audit engagement conducted by the Internal Audit Division of </w:t>
      </w:r>
      <w:r w:rsidR="00636BD5">
        <w:rPr>
          <w:rFonts w:ascii="Calibri" w:hAnsi="Calibri"/>
          <w:sz w:val="20"/>
        </w:rPr>
        <w:t>Vantara Bank</w:t>
      </w:r>
      <w:r>
        <w:rPr>
          <w:rFonts w:ascii="Calibri" w:hAnsi="Calibri"/>
          <w:sz w:val="20"/>
        </w:rPr>
        <w:t xml:space="preserve"> between 6 October 202</w:t>
      </w:r>
      <w:r w:rsidR="00636BD5">
        <w:rPr>
          <w:rFonts w:ascii="Calibri" w:hAnsi="Calibri"/>
          <w:sz w:val="20"/>
        </w:rPr>
        <w:t>6</w:t>
      </w:r>
      <w:r>
        <w:rPr>
          <w:rFonts w:ascii="Calibri" w:hAnsi="Calibri"/>
          <w:sz w:val="20"/>
        </w:rPr>
        <w:t xml:space="preserve"> and 13 October 202</w:t>
      </w:r>
      <w:r w:rsidR="00636BD5">
        <w:rPr>
          <w:rFonts w:ascii="Calibri" w:hAnsi="Calibri"/>
          <w:sz w:val="20"/>
        </w:rPr>
        <w:t>6</w:t>
      </w:r>
      <w:r>
        <w:rPr>
          <w:rFonts w:ascii="Calibri" w:hAnsi="Calibri"/>
          <w:sz w:val="20"/>
        </w:rPr>
        <w:t>. The audit assessed the adequacy and effectiveness of risk management controls across the Credit Risk, Market Risk, and Operational Risk functions.</w:t>
      </w:r>
    </w:p>
    <w:p w14:paraId="6EFCD717" w14:textId="363C71BB" w:rsidR="000823A4" w:rsidRDefault="00000000">
      <w:pPr>
        <w:spacing w:after="120"/>
      </w:pPr>
      <w:r>
        <w:rPr>
          <w:rFonts w:ascii="Calibri" w:hAnsi="Calibri"/>
          <w:sz w:val="20"/>
        </w:rPr>
        <w:t>The audit scope encompasses the</w:t>
      </w:r>
      <w:r w:rsidR="00E20F85">
        <w:rPr>
          <w:rFonts w:ascii="Calibri" w:hAnsi="Calibri"/>
          <w:sz w:val="20"/>
        </w:rPr>
        <w:t xml:space="preserve"> Bank</w:t>
      </w:r>
      <w:r>
        <w:rPr>
          <w:rFonts w:ascii="Calibri" w:hAnsi="Calibri"/>
          <w:sz w:val="20"/>
        </w:rPr>
        <w:t xml:space="preserve">'s North American operations including the </w:t>
      </w:r>
      <w:r w:rsidR="00636BD5">
        <w:rPr>
          <w:rFonts w:ascii="Calibri" w:hAnsi="Calibri"/>
          <w:sz w:val="20"/>
        </w:rPr>
        <w:t>Chicago</w:t>
      </w:r>
      <w:r>
        <w:rPr>
          <w:rFonts w:ascii="Calibri" w:hAnsi="Calibri"/>
          <w:sz w:val="20"/>
        </w:rPr>
        <w:t xml:space="preserve"> headquarters, the </w:t>
      </w:r>
      <w:r w:rsidR="00E20F85">
        <w:rPr>
          <w:rFonts w:ascii="Calibri" w:hAnsi="Calibri"/>
          <w:sz w:val="20"/>
        </w:rPr>
        <w:t>New York</w:t>
      </w:r>
      <w:r>
        <w:rPr>
          <w:rFonts w:ascii="Calibri" w:hAnsi="Calibri"/>
          <w:sz w:val="20"/>
        </w:rPr>
        <w:t xml:space="preserve"> regional office, and the Toronto subsidiary. International operations in EMEA and APAC were excluded from this engagement and are subject to a separate Q4 202</w:t>
      </w:r>
      <w:r w:rsidR="00636BD5">
        <w:rPr>
          <w:rFonts w:ascii="Calibri" w:hAnsi="Calibri"/>
          <w:sz w:val="20"/>
        </w:rPr>
        <w:t>6</w:t>
      </w:r>
      <w:r>
        <w:rPr>
          <w:rFonts w:ascii="Calibri" w:hAnsi="Calibri"/>
          <w:sz w:val="20"/>
        </w:rPr>
        <w:t xml:space="preserve"> review.</w:t>
      </w:r>
    </w:p>
    <w:p w14:paraId="74D479B3" w14:textId="77777777" w:rsidR="000823A4" w:rsidRDefault="00000000">
      <w:pPr>
        <w:pStyle w:val="Heading1"/>
      </w:pPr>
      <w:r>
        <w:rPr>
          <w:rFonts w:ascii="Calibri" w:hAnsi="Calibri"/>
          <w:color w:val="0062FF"/>
          <w:sz w:val="32"/>
        </w:rPr>
        <w:t>2. Executive Summary of Findings</w:t>
      </w:r>
    </w:p>
    <w:p w14:paraId="164DBAE5" w14:textId="7051796D" w:rsidR="000823A4" w:rsidRDefault="00000000">
      <w:pPr>
        <w:spacing w:after="120"/>
      </w:pPr>
      <w:r>
        <w:rPr>
          <w:rFonts w:ascii="Calibri" w:hAnsi="Calibri"/>
          <w:sz w:val="20"/>
        </w:rPr>
        <w:t xml:space="preserve">The audit identified </w:t>
      </w:r>
      <w:r w:rsidRPr="00E20F85">
        <w:rPr>
          <w:rFonts w:ascii="Calibri" w:hAnsi="Calibri"/>
          <w:b/>
          <w:bCs/>
          <w:sz w:val="20"/>
        </w:rPr>
        <w:t>three material findings</w:t>
      </w:r>
      <w:r>
        <w:rPr>
          <w:rFonts w:ascii="Calibri" w:hAnsi="Calibri"/>
          <w:sz w:val="20"/>
        </w:rPr>
        <w:t xml:space="preserve"> and </w:t>
      </w:r>
      <w:r w:rsidRPr="00E20F85">
        <w:rPr>
          <w:rFonts w:ascii="Calibri" w:hAnsi="Calibri"/>
          <w:b/>
          <w:bCs/>
          <w:sz w:val="20"/>
        </w:rPr>
        <w:t>seven minor observations</w:t>
      </w:r>
      <w:r>
        <w:rPr>
          <w:rFonts w:ascii="Calibri" w:hAnsi="Calibri"/>
          <w:sz w:val="20"/>
        </w:rPr>
        <w:t xml:space="preserve"> across the entities reviewed. Material findings relate to (1) gaps in the stress-testing methodology applied to the leveraged loan sub-portfolio, (2) incomplete documentation of credit risk model validation for two internal rating models, and (3) delayed remediation of a prior-period finding relating to AML transaction monitoring thresholds.</w:t>
      </w:r>
    </w:p>
    <w:p w14:paraId="3F07A833" w14:textId="77777777" w:rsidR="000823A4" w:rsidRDefault="00000000">
      <w:pPr>
        <w:spacing w:after="120"/>
      </w:pPr>
      <w:r>
        <w:rPr>
          <w:rFonts w:ascii="Calibri" w:hAnsi="Calibri"/>
          <w:sz w:val="20"/>
        </w:rPr>
        <w:t>The audit identified three material findings and seven minor observations across the entities reviewed. Material findings relate to (1) gaps in the stress-testing methodology applied to the leveraged loan sub-portfolio, (2) incomplete documentation of credit risk model validation for two internal rating models, and (3) delayed remediation of a prior-period finding relating to AML transaction monitoring thresholds.</w:t>
      </w:r>
    </w:p>
    <w:p w14:paraId="23CC9188" w14:textId="4CB7D2EC" w:rsidR="000823A4" w:rsidRDefault="00000000">
      <w:pPr>
        <w:spacing w:after="120"/>
      </w:pPr>
      <w:r>
        <w:rPr>
          <w:rFonts w:ascii="Calibri" w:hAnsi="Calibri"/>
          <w:sz w:val="20"/>
        </w:rPr>
        <w:t xml:space="preserve">Total risk-weighted exposure for the period is confirmed at USD 4,820 million, consistent with the Quarterly Risk Disclosure (Reference: </w:t>
      </w:r>
      <w:r w:rsidR="00636BD5">
        <w:rPr>
          <w:rFonts w:ascii="Calibri" w:hAnsi="Calibri"/>
          <w:sz w:val="20"/>
        </w:rPr>
        <w:t>FRB-2026-0847</w:t>
      </w:r>
      <w:r>
        <w:rPr>
          <w:rFonts w:ascii="Calibri" w:hAnsi="Calibri"/>
          <w:sz w:val="20"/>
        </w:rPr>
        <w:t>). The highest-risk category remains Credit Risk at USD 2,748 million (57% of total RWA).</w:t>
      </w:r>
    </w:p>
    <w:p w14:paraId="79F7E28C" w14:textId="77777777" w:rsidR="000823A4" w:rsidRDefault="00000000">
      <w:pPr>
        <w:pStyle w:val="Heading1"/>
      </w:pPr>
      <w:r>
        <w:rPr>
          <w:rFonts w:ascii="Calibri" w:hAnsi="Calibri"/>
          <w:color w:val="0062FF"/>
          <w:sz w:val="32"/>
        </w:rPr>
        <w:lastRenderedPageBreak/>
        <w:t>3. Material Findings</w:t>
      </w:r>
    </w:p>
    <w:p w14:paraId="35BB1463" w14:textId="77777777" w:rsidR="000823A4" w:rsidRDefault="00000000">
      <w:pPr>
        <w:pStyle w:val="Heading2"/>
      </w:pPr>
      <w:r>
        <w:rPr>
          <w:rFonts w:ascii="Calibri" w:hAnsi="Calibri"/>
          <w:color w:val="161616"/>
        </w:rPr>
        <w:t>3.1 MF-001: Stress Testing Methodology — Leveraged Loan Portfolio</w:t>
      </w:r>
    </w:p>
    <w:tbl>
      <w:tblPr>
        <w:tblStyle w:val="TableGrid"/>
        <w:tblW w:w="0" w:type="auto"/>
        <w:tblLook w:val="04A0" w:firstRow="1" w:lastRow="0" w:firstColumn="1" w:lastColumn="0" w:noHBand="0" w:noVBand="1"/>
      </w:tblPr>
      <w:tblGrid>
        <w:gridCol w:w="1984"/>
        <w:gridCol w:w="7370"/>
      </w:tblGrid>
      <w:tr w:rsidR="000823A4" w14:paraId="09CA5317" w14:textId="77777777">
        <w:tc>
          <w:tcPr>
            <w:tcW w:w="1984" w:type="dxa"/>
            <w:shd w:val="clear" w:color="auto" w:fill="F4F4F4"/>
          </w:tcPr>
          <w:p w14:paraId="6509F9A5" w14:textId="77777777" w:rsidR="000823A4" w:rsidRDefault="00000000">
            <w:r>
              <w:rPr>
                <w:rFonts w:ascii="Calibri" w:hAnsi="Calibri"/>
                <w:b/>
                <w:sz w:val="18"/>
              </w:rPr>
              <w:t>Severity</w:t>
            </w:r>
          </w:p>
        </w:tc>
        <w:tc>
          <w:tcPr>
            <w:tcW w:w="7370" w:type="dxa"/>
          </w:tcPr>
          <w:p w14:paraId="4ABB2D6C" w14:textId="77777777" w:rsidR="000823A4" w:rsidRDefault="00000000">
            <w:r>
              <w:rPr>
                <w:rFonts w:ascii="Calibri" w:hAnsi="Calibri"/>
                <w:color w:val="DA1E28"/>
                <w:sz w:val="18"/>
              </w:rPr>
              <w:t>HIGH</w:t>
            </w:r>
          </w:p>
        </w:tc>
      </w:tr>
      <w:tr w:rsidR="000823A4" w14:paraId="49CA556B" w14:textId="77777777">
        <w:tc>
          <w:tcPr>
            <w:tcW w:w="1984" w:type="dxa"/>
            <w:shd w:val="clear" w:color="auto" w:fill="F4F4F4"/>
          </w:tcPr>
          <w:p w14:paraId="31E25E71" w14:textId="77777777" w:rsidR="000823A4" w:rsidRDefault="00000000">
            <w:r>
              <w:rPr>
                <w:rFonts w:ascii="Calibri" w:hAnsi="Calibri"/>
                <w:b/>
                <w:sz w:val="18"/>
              </w:rPr>
              <w:t>Finding</w:t>
            </w:r>
          </w:p>
        </w:tc>
        <w:tc>
          <w:tcPr>
            <w:tcW w:w="7370" w:type="dxa"/>
          </w:tcPr>
          <w:p w14:paraId="544DDAA9" w14:textId="6A4EA835" w:rsidR="000823A4" w:rsidRDefault="00000000">
            <w:r>
              <w:rPr>
                <w:rFonts w:ascii="Calibri" w:hAnsi="Calibri"/>
                <w:sz w:val="18"/>
              </w:rPr>
              <w:t xml:space="preserve">The stress scenarios applied to the leveraged loan sub-portfolio (USD 321M) do not incorporate a severe macroeconomic downturn scenario consistent with the Federal Reserve's </w:t>
            </w:r>
            <w:r w:rsidR="00E20F85">
              <w:rPr>
                <w:rFonts w:ascii="Calibri" w:hAnsi="Calibri"/>
                <w:sz w:val="18"/>
              </w:rPr>
              <w:t>2026</w:t>
            </w:r>
            <w:r>
              <w:rPr>
                <w:rFonts w:ascii="Calibri" w:hAnsi="Calibri"/>
                <w:sz w:val="18"/>
              </w:rPr>
              <w:t xml:space="preserve"> Comprehensive Capital Analysis and Review (CCAR) adverse scenario. This creates a potential underestimation of capital requirements under stress conditions.</w:t>
            </w:r>
          </w:p>
        </w:tc>
      </w:tr>
      <w:tr w:rsidR="000823A4" w14:paraId="7FEEED35" w14:textId="77777777">
        <w:tc>
          <w:tcPr>
            <w:tcW w:w="1984" w:type="dxa"/>
            <w:shd w:val="clear" w:color="auto" w:fill="F4F4F4"/>
          </w:tcPr>
          <w:p w14:paraId="723BC368" w14:textId="77777777" w:rsidR="000823A4" w:rsidRDefault="00000000">
            <w:r>
              <w:rPr>
                <w:rFonts w:ascii="Calibri" w:hAnsi="Calibri"/>
                <w:b/>
                <w:sz w:val="18"/>
              </w:rPr>
              <w:t>Management Response</w:t>
            </w:r>
          </w:p>
        </w:tc>
        <w:tc>
          <w:tcPr>
            <w:tcW w:w="7370" w:type="dxa"/>
          </w:tcPr>
          <w:p w14:paraId="79C46F4E" w14:textId="6B41E911" w:rsidR="000823A4" w:rsidRDefault="00000000">
            <w:r>
              <w:rPr>
                <w:rFonts w:ascii="Calibri" w:hAnsi="Calibri"/>
                <w:sz w:val="18"/>
              </w:rPr>
              <w:t xml:space="preserve">Head of Credit Risk Modelling to update stress scenarios by 30 November </w:t>
            </w:r>
            <w:r w:rsidR="00E20F85">
              <w:rPr>
                <w:rFonts w:ascii="Calibri" w:hAnsi="Calibri"/>
                <w:sz w:val="18"/>
              </w:rPr>
              <w:t>2026</w:t>
            </w:r>
            <w:r>
              <w:rPr>
                <w:rFonts w:ascii="Calibri" w:hAnsi="Calibri"/>
                <w:sz w:val="18"/>
              </w:rPr>
              <w:t>. Interim capital buffer of USD 18M to be maintained pending model update.</w:t>
            </w:r>
          </w:p>
        </w:tc>
      </w:tr>
      <w:tr w:rsidR="000823A4" w14:paraId="0ACE0AA3" w14:textId="77777777">
        <w:tc>
          <w:tcPr>
            <w:tcW w:w="1984" w:type="dxa"/>
            <w:shd w:val="clear" w:color="auto" w:fill="F4F4F4"/>
          </w:tcPr>
          <w:p w14:paraId="0C0EFD6C" w14:textId="77777777" w:rsidR="000823A4" w:rsidRDefault="00000000">
            <w:r>
              <w:rPr>
                <w:rFonts w:ascii="Calibri" w:hAnsi="Calibri"/>
                <w:b/>
                <w:sz w:val="18"/>
              </w:rPr>
              <w:t>Status</w:t>
            </w:r>
          </w:p>
        </w:tc>
        <w:tc>
          <w:tcPr>
            <w:tcW w:w="7370" w:type="dxa"/>
          </w:tcPr>
          <w:p w14:paraId="361CD2C1" w14:textId="77777777" w:rsidR="000823A4" w:rsidRDefault="00000000">
            <w:r>
              <w:rPr>
                <w:rFonts w:ascii="Calibri" w:hAnsi="Calibri"/>
                <w:sz w:val="18"/>
              </w:rPr>
              <w:t>Open — In Progress</w:t>
            </w:r>
          </w:p>
        </w:tc>
      </w:tr>
    </w:tbl>
    <w:p w14:paraId="1D7ABE7F" w14:textId="77777777" w:rsidR="000823A4" w:rsidRDefault="000823A4"/>
    <w:p w14:paraId="08EAD938" w14:textId="77777777" w:rsidR="000823A4" w:rsidRDefault="00000000">
      <w:pPr>
        <w:pStyle w:val="Heading2"/>
      </w:pPr>
      <w:r>
        <w:rPr>
          <w:rFonts w:ascii="Calibri" w:hAnsi="Calibri"/>
          <w:color w:val="161616"/>
        </w:rPr>
        <w:t>3.2 MF-002: Credit Risk Model Validation Documentation</w:t>
      </w:r>
    </w:p>
    <w:tbl>
      <w:tblPr>
        <w:tblStyle w:val="TableGrid"/>
        <w:tblW w:w="0" w:type="auto"/>
        <w:tblLook w:val="04A0" w:firstRow="1" w:lastRow="0" w:firstColumn="1" w:lastColumn="0" w:noHBand="0" w:noVBand="1"/>
      </w:tblPr>
      <w:tblGrid>
        <w:gridCol w:w="1984"/>
        <w:gridCol w:w="7370"/>
      </w:tblGrid>
      <w:tr w:rsidR="000823A4" w14:paraId="69535B89" w14:textId="77777777">
        <w:tc>
          <w:tcPr>
            <w:tcW w:w="1984" w:type="dxa"/>
            <w:shd w:val="clear" w:color="auto" w:fill="F4F4F4"/>
          </w:tcPr>
          <w:p w14:paraId="349BECF8" w14:textId="77777777" w:rsidR="000823A4" w:rsidRDefault="00000000">
            <w:r>
              <w:rPr>
                <w:rFonts w:ascii="Calibri" w:hAnsi="Calibri"/>
                <w:b/>
                <w:sz w:val="18"/>
              </w:rPr>
              <w:t>Severity</w:t>
            </w:r>
          </w:p>
        </w:tc>
        <w:tc>
          <w:tcPr>
            <w:tcW w:w="7370" w:type="dxa"/>
          </w:tcPr>
          <w:p w14:paraId="5CDEC5B3" w14:textId="77777777" w:rsidR="000823A4" w:rsidRDefault="00000000">
            <w:r>
              <w:rPr>
                <w:rFonts w:ascii="Calibri" w:hAnsi="Calibri"/>
                <w:color w:val="DA1E28"/>
                <w:sz w:val="18"/>
              </w:rPr>
              <w:t>HIGH</w:t>
            </w:r>
          </w:p>
        </w:tc>
      </w:tr>
      <w:tr w:rsidR="000823A4" w14:paraId="6D28F13B" w14:textId="77777777">
        <w:tc>
          <w:tcPr>
            <w:tcW w:w="1984" w:type="dxa"/>
            <w:shd w:val="clear" w:color="auto" w:fill="F4F4F4"/>
          </w:tcPr>
          <w:p w14:paraId="3DEB8C1C" w14:textId="77777777" w:rsidR="000823A4" w:rsidRDefault="00000000">
            <w:r>
              <w:rPr>
                <w:rFonts w:ascii="Calibri" w:hAnsi="Calibri"/>
                <w:b/>
                <w:sz w:val="18"/>
              </w:rPr>
              <w:t>Finding</w:t>
            </w:r>
          </w:p>
        </w:tc>
        <w:tc>
          <w:tcPr>
            <w:tcW w:w="7370" w:type="dxa"/>
          </w:tcPr>
          <w:p w14:paraId="106AD2E2" w14:textId="71885370" w:rsidR="000823A4" w:rsidRDefault="00000000">
            <w:r>
              <w:rPr>
                <w:rFonts w:ascii="Calibri" w:hAnsi="Calibri"/>
                <w:sz w:val="18"/>
              </w:rPr>
              <w:t xml:space="preserve">Two internal credit rating models (CRE Scorecard v3.1 and SME Rating Model v2.4) lack complete validation documentation as required under SR 11-7 (Guidance on Model Risk Management). Specifically, benchmarking analysis and outcome testing results are absent from the model inventory for the period January–September </w:t>
            </w:r>
            <w:r w:rsidR="00E20F85">
              <w:rPr>
                <w:rFonts w:ascii="Calibri" w:hAnsi="Calibri"/>
                <w:sz w:val="18"/>
              </w:rPr>
              <w:t>2026</w:t>
            </w:r>
            <w:r>
              <w:rPr>
                <w:rFonts w:ascii="Calibri" w:hAnsi="Calibri"/>
                <w:sz w:val="18"/>
              </w:rPr>
              <w:t>.</w:t>
            </w:r>
          </w:p>
        </w:tc>
      </w:tr>
      <w:tr w:rsidR="000823A4" w14:paraId="07AA8FF7" w14:textId="77777777">
        <w:tc>
          <w:tcPr>
            <w:tcW w:w="1984" w:type="dxa"/>
            <w:shd w:val="clear" w:color="auto" w:fill="F4F4F4"/>
          </w:tcPr>
          <w:p w14:paraId="56BB4910" w14:textId="77777777" w:rsidR="000823A4" w:rsidRDefault="00000000">
            <w:r>
              <w:rPr>
                <w:rFonts w:ascii="Calibri" w:hAnsi="Calibri"/>
                <w:b/>
                <w:sz w:val="18"/>
              </w:rPr>
              <w:t>Management Response</w:t>
            </w:r>
          </w:p>
        </w:tc>
        <w:tc>
          <w:tcPr>
            <w:tcW w:w="7370" w:type="dxa"/>
          </w:tcPr>
          <w:p w14:paraId="69EEC28D" w14:textId="12C52042" w:rsidR="000823A4" w:rsidRDefault="00000000">
            <w:r>
              <w:rPr>
                <w:rFonts w:ascii="Calibri" w:hAnsi="Calibri"/>
                <w:sz w:val="18"/>
              </w:rPr>
              <w:t xml:space="preserve">Model Risk Management team to complete and archive validation packages by 15 December </w:t>
            </w:r>
            <w:r w:rsidR="00E20F85">
              <w:rPr>
                <w:rFonts w:ascii="Calibri" w:hAnsi="Calibri"/>
                <w:sz w:val="18"/>
              </w:rPr>
              <w:t>2026</w:t>
            </w:r>
            <w:r>
              <w:rPr>
                <w:rFonts w:ascii="Calibri" w:hAnsi="Calibri"/>
                <w:sz w:val="18"/>
              </w:rPr>
              <w:t>. Models to be treated as higher-risk pending remediation.</w:t>
            </w:r>
          </w:p>
        </w:tc>
      </w:tr>
      <w:tr w:rsidR="000823A4" w14:paraId="042A7DB6" w14:textId="77777777">
        <w:tc>
          <w:tcPr>
            <w:tcW w:w="1984" w:type="dxa"/>
            <w:shd w:val="clear" w:color="auto" w:fill="F4F4F4"/>
          </w:tcPr>
          <w:p w14:paraId="3561AA0F" w14:textId="77777777" w:rsidR="000823A4" w:rsidRDefault="00000000">
            <w:r>
              <w:rPr>
                <w:rFonts w:ascii="Calibri" w:hAnsi="Calibri"/>
                <w:b/>
                <w:sz w:val="18"/>
              </w:rPr>
              <w:t>Status</w:t>
            </w:r>
          </w:p>
        </w:tc>
        <w:tc>
          <w:tcPr>
            <w:tcW w:w="7370" w:type="dxa"/>
          </w:tcPr>
          <w:p w14:paraId="7EC5C52E" w14:textId="77777777" w:rsidR="000823A4" w:rsidRDefault="00000000">
            <w:r>
              <w:rPr>
                <w:rFonts w:ascii="Calibri" w:hAnsi="Calibri"/>
                <w:sz w:val="18"/>
              </w:rPr>
              <w:t>Open — Pending Documentation</w:t>
            </w:r>
          </w:p>
        </w:tc>
      </w:tr>
    </w:tbl>
    <w:p w14:paraId="6D25564D" w14:textId="77777777" w:rsidR="000823A4" w:rsidRDefault="000823A4"/>
    <w:p w14:paraId="4C6CC819" w14:textId="77777777" w:rsidR="000823A4" w:rsidRDefault="00000000">
      <w:pPr>
        <w:pStyle w:val="Heading2"/>
      </w:pPr>
      <w:r>
        <w:rPr>
          <w:rFonts w:ascii="Calibri" w:hAnsi="Calibri"/>
          <w:color w:val="161616"/>
        </w:rPr>
        <w:t>3.3 MF-003: AML Transaction Monitoring Threshold Review</w:t>
      </w:r>
    </w:p>
    <w:tbl>
      <w:tblPr>
        <w:tblStyle w:val="TableGrid"/>
        <w:tblW w:w="0" w:type="auto"/>
        <w:tblLook w:val="04A0" w:firstRow="1" w:lastRow="0" w:firstColumn="1" w:lastColumn="0" w:noHBand="0" w:noVBand="1"/>
      </w:tblPr>
      <w:tblGrid>
        <w:gridCol w:w="1984"/>
        <w:gridCol w:w="7370"/>
      </w:tblGrid>
      <w:tr w:rsidR="000823A4" w14:paraId="667AFC46" w14:textId="77777777">
        <w:tc>
          <w:tcPr>
            <w:tcW w:w="1984" w:type="dxa"/>
            <w:shd w:val="clear" w:color="auto" w:fill="F4F4F4"/>
          </w:tcPr>
          <w:p w14:paraId="04455827" w14:textId="77777777" w:rsidR="000823A4" w:rsidRDefault="00000000">
            <w:r>
              <w:rPr>
                <w:rFonts w:ascii="Calibri" w:hAnsi="Calibri"/>
                <w:b/>
                <w:sz w:val="18"/>
              </w:rPr>
              <w:t>Severity</w:t>
            </w:r>
          </w:p>
        </w:tc>
        <w:tc>
          <w:tcPr>
            <w:tcW w:w="7370" w:type="dxa"/>
          </w:tcPr>
          <w:p w14:paraId="73538750" w14:textId="77777777" w:rsidR="000823A4" w:rsidRDefault="00000000">
            <w:r>
              <w:rPr>
                <w:rFonts w:ascii="Calibri" w:hAnsi="Calibri"/>
                <w:color w:val="FF832B"/>
                <w:sz w:val="18"/>
              </w:rPr>
              <w:t>MEDIUM</w:t>
            </w:r>
          </w:p>
        </w:tc>
      </w:tr>
      <w:tr w:rsidR="000823A4" w14:paraId="53A9CE60" w14:textId="77777777">
        <w:tc>
          <w:tcPr>
            <w:tcW w:w="1984" w:type="dxa"/>
            <w:shd w:val="clear" w:color="auto" w:fill="F4F4F4"/>
          </w:tcPr>
          <w:p w14:paraId="172CFF25" w14:textId="77777777" w:rsidR="000823A4" w:rsidRDefault="00000000">
            <w:r>
              <w:rPr>
                <w:rFonts w:ascii="Calibri" w:hAnsi="Calibri"/>
                <w:b/>
                <w:sz w:val="18"/>
              </w:rPr>
              <w:t>Finding</w:t>
            </w:r>
          </w:p>
        </w:tc>
        <w:tc>
          <w:tcPr>
            <w:tcW w:w="7370" w:type="dxa"/>
          </w:tcPr>
          <w:p w14:paraId="3444EFA1" w14:textId="258E8ABD" w:rsidR="000823A4" w:rsidRDefault="00000000">
            <w:r>
              <w:rPr>
                <w:rFonts w:ascii="Calibri" w:hAnsi="Calibri"/>
                <w:sz w:val="18"/>
              </w:rPr>
              <w:t xml:space="preserve">The AML transaction monitoring alert threshold review, originally due Q1 </w:t>
            </w:r>
            <w:r w:rsidR="00E20F85">
              <w:rPr>
                <w:rFonts w:ascii="Calibri" w:hAnsi="Calibri"/>
                <w:sz w:val="18"/>
              </w:rPr>
              <w:t>2026</w:t>
            </w:r>
            <w:r>
              <w:rPr>
                <w:rFonts w:ascii="Calibri" w:hAnsi="Calibri"/>
                <w:sz w:val="18"/>
              </w:rPr>
              <w:t>, remains incomplete. Three of seven thresholds have not been recalibrated in line with FinCEN guidance FIN-</w:t>
            </w:r>
            <w:r w:rsidR="00E20F85">
              <w:rPr>
                <w:rFonts w:ascii="Calibri" w:hAnsi="Calibri"/>
                <w:sz w:val="18"/>
              </w:rPr>
              <w:t>2025</w:t>
            </w:r>
            <w:r>
              <w:rPr>
                <w:rFonts w:ascii="Calibri" w:hAnsi="Calibri"/>
                <w:sz w:val="18"/>
              </w:rPr>
              <w:t xml:space="preserve">-G002. This was raised as a minor finding in Q2 </w:t>
            </w:r>
            <w:r w:rsidR="00E20F85">
              <w:rPr>
                <w:rFonts w:ascii="Calibri" w:hAnsi="Calibri"/>
                <w:sz w:val="18"/>
              </w:rPr>
              <w:t>2025</w:t>
            </w:r>
            <w:r>
              <w:rPr>
                <w:rFonts w:ascii="Calibri" w:hAnsi="Calibri"/>
                <w:sz w:val="18"/>
              </w:rPr>
              <w:t xml:space="preserve"> (IA-</w:t>
            </w:r>
            <w:r w:rsidR="00E20F85">
              <w:rPr>
                <w:rFonts w:ascii="Calibri" w:hAnsi="Calibri"/>
                <w:sz w:val="18"/>
              </w:rPr>
              <w:t>VAB</w:t>
            </w:r>
            <w:r>
              <w:rPr>
                <w:rFonts w:ascii="Calibri" w:hAnsi="Calibri"/>
                <w:sz w:val="18"/>
              </w:rPr>
              <w:t>-Q2-</w:t>
            </w:r>
            <w:r w:rsidR="00E20F85">
              <w:rPr>
                <w:rFonts w:ascii="Calibri" w:hAnsi="Calibri"/>
                <w:sz w:val="18"/>
              </w:rPr>
              <w:t>2025</w:t>
            </w:r>
            <w:r>
              <w:rPr>
                <w:rFonts w:ascii="Calibri" w:hAnsi="Calibri"/>
                <w:sz w:val="18"/>
              </w:rPr>
              <w:t>-004) and has been carried forward without resolution.</w:t>
            </w:r>
          </w:p>
        </w:tc>
      </w:tr>
      <w:tr w:rsidR="000823A4" w14:paraId="7B504114" w14:textId="77777777">
        <w:tc>
          <w:tcPr>
            <w:tcW w:w="1984" w:type="dxa"/>
            <w:shd w:val="clear" w:color="auto" w:fill="F4F4F4"/>
          </w:tcPr>
          <w:p w14:paraId="345F1F61" w14:textId="77777777" w:rsidR="000823A4" w:rsidRDefault="00000000">
            <w:r>
              <w:rPr>
                <w:rFonts w:ascii="Calibri" w:hAnsi="Calibri"/>
                <w:b/>
                <w:sz w:val="18"/>
              </w:rPr>
              <w:t>Management Response</w:t>
            </w:r>
          </w:p>
        </w:tc>
        <w:tc>
          <w:tcPr>
            <w:tcW w:w="7370" w:type="dxa"/>
          </w:tcPr>
          <w:p w14:paraId="4043924C" w14:textId="780E8F19" w:rsidR="000823A4" w:rsidRDefault="00000000">
            <w:r>
              <w:rPr>
                <w:rFonts w:ascii="Calibri" w:hAnsi="Calibri"/>
                <w:sz w:val="18"/>
              </w:rPr>
              <w:t xml:space="preserve">BSA Compliance Officer to complete threshold recalibration by 31 October </w:t>
            </w:r>
            <w:r w:rsidR="00E20F85">
              <w:rPr>
                <w:rFonts w:ascii="Calibri" w:hAnsi="Calibri"/>
                <w:sz w:val="18"/>
              </w:rPr>
              <w:t>2026</w:t>
            </w:r>
            <w:r>
              <w:rPr>
                <w:rFonts w:ascii="Calibri" w:hAnsi="Calibri"/>
                <w:sz w:val="18"/>
              </w:rPr>
              <w:t xml:space="preserve"> with results reported to the Audit Committee at the November </w:t>
            </w:r>
            <w:r w:rsidR="00E20F85">
              <w:rPr>
                <w:rFonts w:ascii="Calibri" w:hAnsi="Calibri"/>
                <w:sz w:val="18"/>
              </w:rPr>
              <w:t>2026</w:t>
            </w:r>
            <w:r>
              <w:rPr>
                <w:rFonts w:ascii="Calibri" w:hAnsi="Calibri"/>
                <w:sz w:val="18"/>
              </w:rPr>
              <w:t xml:space="preserve"> meeting.</w:t>
            </w:r>
          </w:p>
        </w:tc>
      </w:tr>
      <w:tr w:rsidR="000823A4" w14:paraId="2605B77C" w14:textId="77777777">
        <w:tc>
          <w:tcPr>
            <w:tcW w:w="1984" w:type="dxa"/>
            <w:shd w:val="clear" w:color="auto" w:fill="F4F4F4"/>
          </w:tcPr>
          <w:p w14:paraId="50DD8371" w14:textId="77777777" w:rsidR="000823A4" w:rsidRDefault="00000000">
            <w:r>
              <w:rPr>
                <w:rFonts w:ascii="Calibri" w:hAnsi="Calibri"/>
                <w:b/>
                <w:sz w:val="18"/>
              </w:rPr>
              <w:t>Status</w:t>
            </w:r>
          </w:p>
        </w:tc>
        <w:tc>
          <w:tcPr>
            <w:tcW w:w="7370" w:type="dxa"/>
          </w:tcPr>
          <w:p w14:paraId="5D086489" w14:textId="1CBFB7C7" w:rsidR="000823A4" w:rsidRDefault="00000000">
            <w:r>
              <w:rPr>
                <w:rFonts w:ascii="Calibri" w:hAnsi="Calibri"/>
                <w:sz w:val="18"/>
              </w:rPr>
              <w:t xml:space="preserve">Open — Overdue (Original due date: 31 March </w:t>
            </w:r>
            <w:r w:rsidR="00E20F85">
              <w:rPr>
                <w:rFonts w:ascii="Calibri" w:hAnsi="Calibri"/>
                <w:sz w:val="18"/>
              </w:rPr>
              <w:t>2026</w:t>
            </w:r>
            <w:r>
              <w:rPr>
                <w:rFonts w:ascii="Calibri" w:hAnsi="Calibri"/>
                <w:sz w:val="18"/>
              </w:rPr>
              <w:t>)</w:t>
            </w:r>
          </w:p>
        </w:tc>
      </w:tr>
    </w:tbl>
    <w:p w14:paraId="445CD01C" w14:textId="77777777" w:rsidR="000823A4" w:rsidRDefault="000823A4"/>
    <w:p w14:paraId="37A8A7A0" w14:textId="77777777" w:rsidR="000823A4" w:rsidRDefault="00000000">
      <w:pPr>
        <w:pStyle w:val="Heading1"/>
      </w:pPr>
      <w:r>
        <w:rPr>
          <w:rFonts w:ascii="Calibri" w:hAnsi="Calibri"/>
          <w:color w:val="0062FF"/>
          <w:sz w:val="32"/>
        </w:rPr>
        <w:t>4. Minor Observations (Summary)</w:t>
      </w:r>
    </w:p>
    <w:p w14:paraId="5C337CB7" w14:textId="62AF1212" w:rsidR="000823A4" w:rsidRDefault="00000000">
      <w:pPr>
        <w:spacing w:after="120"/>
      </w:pPr>
      <w:r>
        <w:rPr>
          <w:rFonts w:ascii="Calibri" w:hAnsi="Calibri"/>
          <w:sz w:val="20"/>
        </w:rPr>
        <w:t>The following seven minor observations were identified during the audit engagement. Each has been discussed with process owners and management responses have been received. Detailed findings are included in the full audit workpaper file (</w:t>
      </w:r>
      <w:r w:rsidR="00636BD5">
        <w:rPr>
          <w:rFonts w:ascii="Calibri" w:hAnsi="Calibri"/>
          <w:sz w:val="20"/>
        </w:rPr>
        <w:t>IA-VAB-Q3-2026-007</w:t>
      </w:r>
      <w:r>
        <w:rPr>
          <w:rFonts w:ascii="Calibri" w:hAnsi="Calibri"/>
          <w:sz w:val="20"/>
        </w:rPr>
        <w:t>-WP).</w:t>
      </w:r>
    </w:p>
    <w:tbl>
      <w:tblPr>
        <w:tblStyle w:val="TableGrid"/>
        <w:tblW w:w="0" w:type="auto"/>
        <w:tblLook w:val="04A0" w:firstRow="1" w:lastRow="0" w:firstColumn="1" w:lastColumn="0" w:noHBand="0" w:noVBand="1"/>
      </w:tblPr>
      <w:tblGrid>
        <w:gridCol w:w="1744"/>
        <w:gridCol w:w="4287"/>
        <w:gridCol w:w="1841"/>
        <w:gridCol w:w="1756"/>
      </w:tblGrid>
      <w:tr w:rsidR="000823A4" w14:paraId="112C0C7C" w14:textId="77777777">
        <w:tc>
          <w:tcPr>
            <w:tcW w:w="2353" w:type="dxa"/>
            <w:shd w:val="clear" w:color="auto" w:fill="393939"/>
          </w:tcPr>
          <w:p w14:paraId="3E445F48" w14:textId="77777777" w:rsidR="000823A4" w:rsidRDefault="00000000">
            <w:r>
              <w:rPr>
                <w:rFonts w:ascii="Calibri" w:hAnsi="Calibri"/>
                <w:b/>
                <w:color w:val="FFFFFF"/>
                <w:sz w:val="18"/>
              </w:rPr>
              <w:t>Ref</w:t>
            </w:r>
          </w:p>
        </w:tc>
        <w:tc>
          <w:tcPr>
            <w:tcW w:w="2353" w:type="dxa"/>
            <w:shd w:val="clear" w:color="auto" w:fill="393939"/>
          </w:tcPr>
          <w:p w14:paraId="60082F16" w14:textId="77777777" w:rsidR="000823A4" w:rsidRDefault="00000000">
            <w:r>
              <w:rPr>
                <w:rFonts w:ascii="Calibri" w:hAnsi="Calibri"/>
                <w:b/>
                <w:color w:val="FFFFFF"/>
                <w:sz w:val="18"/>
              </w:rPr>
              <w:t>Observation</w:t>
            </w:r>
          </w:p>
        </w:tc>
        <w:tc>
          <w:tcPr>
            <w:tcW w:w="2353" w:type="dxa"/>
            <w:shd w:val="clear" w:color="auto" w:fill="393939"/>
          </w:tcPr>
          <w:p w14:paraId="35034858" w14:textId="77777777" w:rsidR="000823A4" w:rsidRDefault="00000000">
            <w:r>
              <w:rPr>
                <w:rFonts w:ascii="Calibri" w:hAnsi="Calibri"/>
                <w:b/>
                <w:color w:val="FFFFFF"/>
                <w:sz w:val="18"/>
              </w:rPr>
              <w:t>Severity</w:t>
            </w:r>
          </w:p>
        </w:tc>
        <w:tc>
          <w:tcPr>
            <w:tcW w:w="2353" w:type="dxa"/>
            <w:shd w:val="clear" w:color="auto" w:fill="393939"/>
          </w:tcPr>
          <w:p w14:paraId="59FB1A47" w14:textId="77777777" w:rsidR="000823A4" w:rsidRDefault="00000000">
            <w:r>
              <w:rPr>
                <w:rFonts w:ascii="Calibri" w:hAnsi="Calibri"/>
                <w:b/>
                <w:color w:val="FFFFFF"/>
                <w:sz w:val="18"/>
              </w:rPr>
              <w:t>Due Date</w:t>
            </w:r>
          </w:p>
        </w:tc>
      </w:tr>
      <w:tr w:rsidR="000823A4" w14:paraId="6AEA64F5" w14:textId="77777777">
        <w:tc>
          <w:tcPr>
            <w:tcW w:w="1020" w:type="dxa"/>
          </w:tcPr>
          <w:p w14:paraId="61E799BB" w14:textId="77777777" w:rsidR="000823A4" w:rsidRDefault="00000000">
            <w:r>
              <w:rPr>
                <w:rFonts w:ascii="Calibri" w:hAnsi="Calibri"/>
                <w:sz w:val="18"/>
              </w:rPr>
              <w:t>MO-001</w:t>
            </w:r>
          </w:p>
        </w:tc>
        <w:tc>
          <w:tcPr>
            <w:tcW w:w="5783" w:type="dxa"/>
          </w:tcPr>
          <w:p w14:paraId="0D018CFA" w14:textId="77777777" w:rsidR="000823A4" w:rsidRDefault="00000000">
            <w:r>
              <w:rPr>
                <w:rFonts w:ascii="Calibri" w:hAnsi="Calibri"/>
                <w:sz w:val="18"/>
              </w:rPr>
              <w:t>IT access rights review overdue in Toronto subsidiary</w:t>
            </w:r>
          </w:p>
        </w:tc>
        <w:tc>
          <w:tcPr>
            <w:tcW w:w="1247" w:type="dxa"/>
          </w:tcPr>
          <w:p w14:paraId="0F8A17D5" w14:textId="77777777" w:rsidR="000823A4" w:rsidRDefault="00000000">
            <w:r>
              <w:rPr>
                <w:rFonts w:ascii="Calibri" w:hAnsi="Calibri"/>
                <w:sz w:val="18"/>
              </w:rPr>
              <w:t>Low</w:t>
            </w:r>
          </w:p>
        </w:tc>
        <w:tc>
          <w:tcPr>
            <w:tcW w:w="1304" w:type="dxa"/>
          </w:tcPr>
          <w:p w14:paraId="3FC10505" w14:textId="70132AB1" w:rsidR="000823A4" w:rsidRDefault="00000000">
            <w:r>
              <w:rPr>
                <w:rFonts w:ascii="Calibri" w:hAnsi="Calibri"/>
                <w:sz w:val="18"/>
              </w:rPr>
              <w:t xml:space="preserve">Nov </w:t>
            </w:r>
            <w:r w:rsidR="00E20F85">
              <w:rPr>
                <w:rFonts w:ascii="Calibri" w:hAnsi="Calibri"/>
                <w:sz w:val="18"/>
              </w:rPr>
              <w:t>2026</w:t>
            </w:r>
          </w:p>
        </w:tc>
      </w:tr>
      <w:tr w:rsidR="000823A4" w14:paraId="268835A6" w14:textId="77777777">
        <w:tc>
          <w:tcPr>
            <w:tcW w:w="1020" w:type="dxa"/>
          </w:tcPr>
          <w:p w14:paraId="3D300A88" w14:textId="77777777" w:rsidR="000823A4" w:rsidRDefault="00000000">
            <w:r>
              <w:rPr>
                <w:rFonts w:ascii="Calibri" w:hAnsi="Calibri"/>
                <w:sz w:val="18"/>
              </w:rPr>
              <w:t>MO-002</w:t>
            </w:r>
          </w:p>
        </w:tc>
        <w:tc>
          <w:tcPr>
            <w:tcW w:w="5783" w:type="dxa"/>
          </w:tcPr>
          <w:p w14:paraId="7710E316" w14:textId="77777777" w:rsidR="000823A4" w:rsidRDefault="00000000">
            <w:r>
              <w:rPr>
                <w:rFonts w:ascii="Calibri" w:hAnsi="Calibri"/>
                <w:sz w:val="18"/>
              </w:rPr>
              <w:t>Collateral valuations not updated for 3 CRE exposures</w:t>
            </w:r>
          </w:p>
        </w:tc>
        <w:tc>
          <w:tcPr>
            <w:tcW w:w="1247" w:type="dxa"/>
          </w:tcPr>
          <w:p w14:paraId="5DE4C178" w14:textId="77777777" w:rsidR="000823A4" w:rsidRDefault="00000000">
            <w:r>
              <w:rPr>
                <w:rFonts w:ascii="Calibri" w:hAnsi="Calibri"/>
                <w:sz w:val="18"/>
              </w:rPr>
              <w:t>Low</w:t>
            </w:r>
          </w:p>
        </w:tc>
        <w:tc>
          <w:tcPr>
            <w:tcW w:w="1304" w:type="dxa"/>
          </w:tcPr>
          <w:p w14:paraId="2BDF09D0" w14:textId="4EF2A20B" w:rsidR="000823A4" w:rsidRDefault="00000000">
            <w:r>
              <w:rPr>
                <w:rFonts w:ascii="Calibri" w:hAnsi="Calibri"/>
                <w:sz w:val="18"/>
              </w:rPr>
              <w:t xml:space="preserve">Oct </w:t>
            </w:r>
            <w:r w:rsidR="00E20F85">
              <w:rPr>
                <w:rFonts w:ascii="Calibri" w:hAnsi="Calibri"/>
                <w:sz w:val="18"/>
              </w:rPr>
              <w:t>2026</w:t>
            </w:r>
          </w:p>
        </w:tc>
      </w:tr>
      <w:tr w:rsidR="000823A4" w14:paraId="02881548" w14:textId="77777777">
        <w:tc>
          <w:tcPr>
            <w:tcW w:w="1020" w:type="dxa"/>
          </w:tcPr>
          <w:p w14:paraId="527EE6EA" w14:textId="77777777" w:rsidR="000823A4" w:rsidRDefault="00000000">
            <w:r>
              <w:rPr>
                <w:rFonts w:ascii="Calibri" w:hAnsi="Calibri"/>
                <w:sz w:val="18"/>
              </w:rPr>
              <w:t>MO-003</w:t>
            </w:r>
          </w:p>
        </w:tc>
        <w:tc>
          <w:tcPr>
            <w:tcW w:w="5783" w:type="dxa"/>
          </w:tcPr>
          <w:p w14:paraId="696D6F07" w14:textId="77777777" w:rsidR="000823A4" w:rsidRDefault="00000000">
            <w:r>
              <w:rPr>
                <w:rFonts w:ascii="Calibri" w:hAnsi="Calibri"/>
                <w:sz w:val="18"/>
              </w:rPr>
              <w:t>Gap in business continuity plan — Chicago trading desk</w:t>
            </w:r>
          </w:p>
        </w:tc>
        <w:tc>
          <w:tcPr>
            <w:tcW w:w="1247" w:type="dxa"/>
          </w:tcPr>
          <w:p w14:paraId="26495F73" w14:textId="77777777" w:rsidR="000823A4" w:rsidRDefault="00000000">
            <w:r>
              <w:rPr>
                <w:rFonts w:ascii="Calibri" w:hAnsi="Calibri"/>
                <w:sz w:val="18"/>
              </w:rPr>
              <w:t>Low</w:t>
            </w:r>
          </w:p>
        </w:tc>
        <w:tc>
          <w:tcPr>
            <w:tcW w:w="1304" w:type="dxa"/>
          </w:tcPr>
          <w:p w14:paraId="67DF7493" w14:textId="142F43DB" w:rsidR="000823A4" w:rsidRDefault="00000000">
            <w:r>
              <w:rPr>
                <w:rFonts w:ascii="Calibri" w:hAnsi="Calibri"/>
                <w:sz w:val="18"/>
              </w:rPr>
              <w:t xml:space="preserve">Dec </w:t>
            </w:r>
            <w:r w:rsidR="00E20F85">
              <w:rPr>
                <w:rFonts w:ascii="Calibri" w:hAnsi="Calibri"/>
                <w:sz w:val="18"/>
              </w:rPr>
              <w:t>2026</w:t>
            </w:r>
          </w:p>
        </w:tc>
      </w:tr>
      <w:tr w:rsidR="000823A4" w14:paraId="2B3341D1" w14:textId="77777777">
        <w:tc>
          <w:tcPr>
            <w:tcW w:w="1020" w:type="dxa"/>
          </w:tcPr>
          <w:p w14:paraId="39A51185" w14:textId="77777777" w:rsidR="000823A4" w:rsidRDefault="00000000">
            <w:r>
              <w:rPr>
                <w:rFonts w:ascii="Calibri" w:hAnsi="Calibri"/>
                <w:sz w:val="18"/>
              </w:rPr>
              <w:t>MO-004</w:t>
            </w:r>
          </w:p>
        </w:tc>
        <w:tc>
          <w:tcPr>
            <w:tcW w:w="5783" w:type="dxa"/>
          </w:tcPr>
          <w:p w14:paraId="0C9DF529" w14:textId="77777777" w:rsidR="000823A4" w:rsidRDefault="00000000">
            <w:r>
              <w:rPr>
                <w:rFonts w:ascii="Calibri" w:hAnsi="Calibri"/>
                <w:sz w:val="18"/>
              </w:rPr>
              <w:t>LIBOR transition documentation incomplete for 2 hedges</w:t>
            </w:r>
          </w:p>
        </w:tc>
        <w:tc>
          <w:tcPr>
            <w:tcW w:w="1247" w:type="dxa"/>
          </w:tcPr>
          <w:p w14:paraId="22D2E835" w14:textId="77777777" w:rsidR="000823A4" w:rsidRDefault="00000000">
            <w:r>
              <w:rPr>
                <w:rFonts w:ascii="Calibri" w:hAnsi="Calibri"/>
                <w:sz w:val="18"/>
              </w:rPr>
              <w:t>Low</w:t>
            </w:r>
          </w:p>
        </w:tc>
        <w:tc>
          <w:tcPr>
            <w:tcW w:w="1304" w:type="dxa"/>
          </w:tcPr>
          <w:p w14:paraId="10230995" w14:textId="7660FD04" w:rsidR="000823A4" w:rsidRDefault="00000000">
            <w:r>
              <w:rPr>
                <w:rFonts w:ascii="Calibri" w:hAnsi="Calibri"/>
                <w:sz w:val="18"/>
              </w:rPr>
              <w:t xml:space="preserve">Oct </w:t>
            </w:r>
            <w:r w:rsidR="00E20F85">
              <w:rPr>
                <w:rFonts w:ascii="Calibri" w:hAnsi="Calibri"/>
                <w:sz w:val="18"/>
              </w:rPr>
              <w:t>2026</w:t>
            </w:r>
          </w:p>
        </w:tc>
      </w:tr>
      <w:tr w:rsidR="000823A4" w14:paraId="3AF011F9" w14:textId="77777777">
        <w:tc>
          <w:tcPr>
            <w:tcW w:w="1020" w:type="dxa"/>
          </w:tcPr>
          <w:p w14:paraId="6870BA9A" w14:textId="77777777" w:rsidR="000823A4" w:rsidRDefault="00000000">
            <w:r>
              <w:rPr>
                <w:rFonts w:ascii="Calibri" w:hAnsi="Calibri"/>
                <w:sz w:val="18"/>
              </w:rPr>
              <w:t>MO-005</w:t>
            </w:r>
          </w:p>
        </w:tc>
        <w:tc>
          <w:tcPr>
            <w:tcW w:w="5783" w:type="dxa"/>
          </w:tcPr>
          <w:p w14:paraId="47B39151" w14:textId="77777777" w:rsidR="000823A4" w:rsidRDefault="00000000">
            <w:r>
              <w:rPr>
                <w:rFonts w:ascii="Calibri" w:hAnsi="Calibri"/>
                <w:sz w:val="18"/>
              </w:rPr>
              <w:t>Employee training records for AML not fully digitised</w:t>
            </w:r>
          </w:p>
        </w:tc>
        <w:tc>
          <w:tcPr>
            <w:tcW w:w="1247" w:type="dxa"/>
          </w:tcPr>
          <w:p w14:paraId="4EDAB56E" w14:textId="77777777" w:rsidR="000823A4" w:rsidRDefault="00000000">
            <w:r>
              <w:rPr>
                <w:rFonts w:ascii="Calibri" w:hAnsi="Calibri"/>
                <w:sz w:val="18"/>
              </w:rPr>
              <w:t>Low</w:t>
            </w:r>
          </w:p>
        </w:tc>
        <w:tc>
          <w:tcPr>
            <w:tcW w:w="1304" w:type="dxa"/>
          </w:tcPr>
          <w:p w14:paraId="376F111B" w14:textId="77777777" w:rsidR="000823A4" w:rsidRDefault="00000000">
            <w:r>
              <w:rPr>
                <w:rFonts w:ascii="Calibri" w:hAnsi="Calibri"/>
                <w:sz w:val="18"/>
              </w:rPr>
              <w:t>Jan 2026</w:t>
            </w:r>
          </w:p>
        </w:tc>
      </w:tr>
      <w:tr w:rsidR="000823A4" w14:paraId="028AC688" w14:textId="77777777">
        <w:tc>
          <w:tcPr>
            <w:tcW w:w="1020" w:type="dxa"/>
          </w:tcPr>
          <w:p w14:paraId="26EE5D24" w14:textId="77777777" w:rsidR="000823A4" w:rsidRDefault="00000000">
            <w:r>
              <w:rPr>
                <w:rFonts w:ascii="Calibri" w:hAnsi="Calibri"/>
                <w:sz w:val="18"/>
              </w:rPr>
              <w:t>MO-006</w:t>
            </w:r>
          </w:p>
        </w:tc>
        <w:tc>
          <w:tcPr>
            <w:tcW w:w="5783" w:type="dxa"/>
          </w:tcPr>
          <w:p w14:paraId="21780632" w14:textId="77777777" w:rsidR="000823A4" w:rsidRDefault="00000000">
            <w:r>
              <w:rPr>
                <w:rFonts w:ascii="Calibri" w:hAnsi="Calibri"/>
                <w:sz w:val="18"/>
              </w:rPr>
              <w:t>Third-party vendor risk assessment 6 months overdue</w:t>
            </w:r>
          </w:p>
        </w:tc>
        <w:tc>
          <w:tcPr>
            <w:tcW w:w="1247" w:type="dxa"/>
          </w:tcPr>
          <w:p w14:paraId="14927705" w14:textId="77777777" w:rsidR="000823A4" w:rsidRDefault="00000000">
            <w:r>
              <w:rPr>
                <w:rFonts w:ascii="Calibri" w:hAnsi="Calibri"/>
                <w:sz w:val="18"/>
              </w:rPr>
              <w:t>Low</w:t>
            </w:r>
          </w:p>
        </w:tc>
        <w:tc>
          <w:tcPr>
            <w:tcW w:w="1304" w:type="dxa"/>
          </w:tcPr>
          <w:p w14:paraId="51ECBFE6" w14:textId="43F5B631" w:rsidR="000823A4" w:rsidRDefault="00000000">
            <w:r>
              <w:rPr>
                <w:rFonts w:ascii="Calibri" w:hAnsi="Calibri"/>
                <w:sz w:val="18"/>
              </w:rPr>
              <w:t xml:space="preserve">Nov </w:t>
            </w:r>
            <w:r w:rsidR="00E20F85">
              <w:rPr>
                <w:rFonts w:ascii="Calibri" w:hAnsi="Calibri"/>
                <w:sz w:val="18"/>
              </w:rPr>
              <w:t>2026</w:t>
            </w:r>
          </w:p>
        </w:tc>
      </w:tr>
      <w:tr w:rsidR="000823A4" w14:paraId="05015E4E" w14:textId="77777777">
        <w:tc>
          <w:tcPr>
            <w:tcW w:w="1020" w:type="dxa"/>
          </w:tcPr>
          <w:p w14:paraId="20EEF912" w14:textId="77777777" w:rsidR="000823A4" w:rsidRDefault="00000000">
            <w:r>
              <w:rPr>
                <w:rFonts w:ascii="Calibri" w:hAnsi="Calibri"/>
                <w:sz w:val="18"/>
              </w:rPr>
              <w:t>MO-007</w:t>
            </w:r>
          </w:p>
        </w:tc>
        <w:tc>
          <w:tcPr>
            <w:tcW w:w="5783" w:type="dxa"/>
          </w:tcPr>
          <w:p w14:paraId="0AD5DAB9" w14:textId="77777777" w:rsidR="000823A4" w:rsidRDefault="00000000">
            <w:r>
              <w:rPr>
                <w:rFonts w:ascii="Calibri" w:hAnsi="Calibri"/>
                <w:sz w:val="18"/>
              </w:rPr>
              <w:t>Segregation of duties gap in treasury back-office</w:t>
            </w:r>
          </w:p>
        </w:tc>
        <w:tc>
          <w:tcPr>
            <w:tcW w:w="1247" w:type="dxa"/>
          </w:tcPr>
          <w:p w14:paraId="493491A5" w14:textId="77777777" w:rsidR="000823A4" w:rsidRDefault="00000000">
            <w:r>
              <w:rPr>
                <w:rFonts w:ascii="Calibri" w:hAnsi="Calibri"/>
                <w:sz w:val="18"/>
              </w:rPr>
              <w:t>Medium</w:t>
            </w:r>
          </w:p>
        </w:tc>
        <w:tc>
          <w:tcPr>
            <w:tcW w:w="1304" w:type="dxa"/>
          </w:tcPr>
          <w:p w14:paraId="00C447C1" w14:textId="7E2ACDD4" w:rsidR="000823A4" w:rsidRDefault="00000000">
            <w:r>
              <w:rPr>
                <w:rFonts w:ascii="Calibri" w:hAnsi="Calibri"/>
                <w:sz w:val="18"/>
              </w:rPr>
              <w:t xml:space="preserve">Nov </w:t>
            </w:r>
            <w:r w:rsidR="00E20F85">
              <w:rPr>
                <w:rFonts w:ascii="Calibri" w:hAnsi="Calibri"/>
                <w:sz w:val="18"/>
              </w:rPr>
              <w:t>2026</w:t>
            </w:r>
          </w:p>
        </w:tc>
      </w:tr>
    </w:tbl>
    <w:p w14:paraId="208B89BD" w14:textId="77777777" w:rsidR="000823A4" w:rsidRDefault="000823A4"/>
    <w:p w14:paraId="242FEDDE" w14:textId="77777777" w:rsidR="000823A4" w:rsidRDefault="00000000">
      <w:pPr>
        <w:pStyle w:val="Heading1"/>
      </w:pPr>
      <w:r>
        <w:rPr>
          <w:rFonts w:ascii="Calibri" w:hAnsi="Calibri"/>
          <w:color w:val="0062FF"/>
          <w:sz w:val="32"/>
        </w:rPr>
        <w:lastRenderedPageBreak/>
        <w:t>5. Key Regulatory Obligations — Reminder</w:t>
      </w:r>
    </w:p>
    <w:p w14:paraId="5DC52371" w14:textId="3912588B" w:rsidR="000823A4" w:rsidRDefault="00000000">
      <w:pPr>
        <w:spacing w:after="120"/>
      </w:pPr>
      <w:r>
        <w:rPr>
          <w:rFonts w:ascii="Calibri" w:hAnsi="Calibri"/>
          <w:sz w:val="20"/>
        </w:rPr>
        <w:t xml:space="preserve">The following regulatory obligations are confirmed as active during </w:t>
      </w:r>
      <w:r w:rsidR="00636BD5">
        <w:rPr>
          <w:rFonts w:ascii="Calibri" w:hAnsi="Calibri"/>
          <w:sz w:val="20"/>
        </w:rPr>
        <w:t>6</w:t>
      </w:r>
      <w:r>
        <w:rPr>
          <w:rFonts w:ascii="Calibri" w:hAnsi="Calibri"/>
          <w:sz w:val="20"/>
        </w:rPr>
        <w:t xml:space="preserve"> and require ongoing management attention. Full details are set out in the Regulatory Guidelines document (see regulatory_guidelines_</w:t>
      </w:r>
      <w:r w:rsidR="00E20F85">
        <w:rPr>
          <w:rFonts w:ascii="Calibri" w:hAnsi="Calibri"/>
          <w:sz w:val="20"/>
        </w:rPr>
        <w:t>2026</w:t>
      </w:r>
      <w:r>
        <w:rPr>
          <w:rFonts w:ascii="Calibri" w:hAnsi="Calibri"/>
          <w:sz w:val="20"/>
        </w:rPr>
        <w:t>.epub).</w:t>
      </w:r>
    </w:p>
    <w:p w14:paraId="6EED9AAD" w14:textId="77777777" w:rsidR="000823A4" w:rsidRDefault="00000000">
      <w:pPr>
        <w:pStyle w:val="ListBullet"/>
      </w:pPr>
      <w:r>
        <w:rPr>
          <w:rFonts w:ascii="Calibri" w:hAnsi="Calibri"/>
          <w:sz w:val="19"/>
        </w:rPr>
        <w:t>Submit CET1 ratio certification to Federal Reserve Board within 30 days of quarter-end</w:t>
      </w:r>
    </w:p>
    <w:p w14:paraId="2C53C14E" w14:textId="77777777" w:rsidR="000823A4" w:rsidRDefault="00000000">
      <w:pPr>
        <w:pStyle w:val="ListBullet"/>
      </w:pPr>
      <w:r>
        <w:rPr>
          <w:rFonts w:ascii="Calibri" w:hAnsi="Calibri"/>
          <w:sz w:val="19"/>
        </w:rPr>
        <w:t>File Volcker Rule quarterly metrics report no later than 30 days after quarter close</w:t>
      </w:r>
    </w:p>
    <w:p w14:paraId="242B9ABD" w14:textId="431A233A" w:rsidR="000823A4" w:rsidRDefault="00000000">
      <w:pPr>
        <w:pStyle w:val="ListBullet"/>
      </w:pPr>
      <w:r>
        <w:rPr>
          <w:rFonts w:ascii="Calibri" w:hAnsi="Calibri"/>
          <w:sz w:val="19"/>
        </w:rPr>
        <w:t>Maintain NPL ratio below 3.5% as per internal risk appetite statement (RAS-</w:t>
      </w:r>
      <w:r w:rsidR="00E20F85">
        <w:rPr>
          <w:rFonts w:ascii="Calibri" w:hAnsi="Calibri"/>
          <w:sz w:val="19"/>
        </w:rPr>
        <w:t>2025</w:t>
      </w:r>
      <w:r>
        <w:rPr>
          <w:rFonts w:ascii="Calibri" w:hAnsi="Calibri"/>
          <w:sz w:val="19"/>
        </w:rPr>
        <w:t>-Rev3)</w:t>
      </w:r>
    </w:p>
    <w:p w14:paraId="37DC107D" w14:textId="77777777" w:rsidR="000823A4" w:rsidRDefault="00000000">
      <w:pPr>
        <w:pStyle w:val="ListBullet"/>
      </w:pPr>
      <w:r>
        <w:rPr>
          <w:rFonts w:ascii="Calibri" w:hAnsi="Calibri"/>
          <w:sz w:val="19"/>
        </w:rPr>
        <w:t>Report any single counterparty exposure exceeding 10% of Tier 1 Capital within 5 business days</w:t>
      </w:r>
    </w:p>
    <w:p w14:paraId="10715E5C" w14:textId="77777777" w:rsidR="000823A4" w:rsidRDefault="00000000">
      <w:pPr>
        <w:pStyle w:val="ListBullet"/>
      </w:pPr>
      <w:r>
        <w:rPr>
          <w:rFonts w:ascii="Calibri" w:hAnsi="Calibri"/>
          <w:sz w:val="19"/>
        </w:rPr>
        <w:t>Complete annual AML programme review and file certification with BSA Compliance Officer</w:t>
      </w:r>
    </w:p>
    <w:p w14:paraId="683DA5D1" w14:textId="77777777" w:rsidR="000823A4" w:rsidRDefault="000823A4"/>
    <w:p w14:paraId="200F3E2F" w14:textId="77777777" w:rsidR="000823A4" w:rsidRDefault="00000000">
      <w:pPr>
        <w:pStyle w:val="Heading1"/>
      </w:pPr>
      <w:r>
        <w:rPr>
          <w:rFonts w:ascii="Calibri" w:hAnsi="Calibri"/>
          <w:color w:val="0062FF"/>
          <w:sz w:val="32"/>
        </w:rPr>
        <w:t>6. Sign-Off and Certification</w:t>
      </w:r>
    </w:p>
    <w:p w14:paraId="03D16333" w14:textId="72DD8B90" w:rsidR="000823A4" w:rsidRDefault="00000000">
      <w:pPr>
        <w:spacing w:after="120"/>
      </w:pPr>
      <w:r>
        <w:rPr>
          <w:rFonts w:ascii="Calibri" w:hAnsi="Calibri"/>
          <w:sz w:val="20"/>
        </w:rPr>
        <w:t xml:space="preserve">I certify that this Internal Audit Summary Report accurately reflects the findings of the </w:t>
      </w:r>
      <w:proofErr w:type="gramStart"/>
      <w:r w:rsidR="00636BD5">
        <w:rPr>
          <w:rFonts w:ascii="Calibri" w:hAnsi="Calibri"/>
          <w:sz w:val="20"/>
        </w:rPr>
        <w:t>6</w:t>
      </w:r>
      <w:r>
        <w:rPr>
          <w:rFonts w:ascii="Calibri" w:hAnsi="Calibri"/>
          <w:sz w:val="20"/>
        </w:rPr>
        <w:t xml:space="preserve"> audit</w:t>
      </w:r>
      <w:proofErr w:type="gramEnd"/>
      <w:r>
        <w:rPr>
          <w:rFonts w:ascii="Calibri" w:hAnsi="Calibri"/>
          <w:sz w:val="20"/>
        </w:rPr>
        <w:t xml:space="preserve"> engagement conducted by the Internal Audit Division. The audit was performed in accordance with the International Standards for the Professional Practice of Internal Auditing.</w:t>
      </w:r>
    </w:p>
    <w:tbl>
      <w:tblPr>
        <w:tblW w:w="0" w:type="auto"/>
        <w:tblLook w:val="04A0" w:firstRow="1" w:lastRow="0" w:firstColumn="1" w:lastColumn="0" w:noHBand="0" w:noVBand="1"/>
      </w:tblPr>
      <w:tblGrid>
        <w:gridCol w:w="1701"/>
        <w:gridCol w:w="7654"/>
      </w:tblGrid>
      <w:tr w:rsidR="000823A4" w:rsidRPr="00A26428" w14:paraId="47F4DD49" w14:textId="77777777">
        <w:tc>
          <w:tcPr>
            <w:tcW w:w="1701" w:type="dxa"/>
          </w:tcPr>
          <w:p w14:paraId="12D75201" w14:textId="77777777" w:rsidR="000823A4" w:rsidRDefault="00000000">
            <w:r>
              <w:rPr>
                <w:rFonts w:ascii="Calibri" w:hAnsi="Calibri"/>
                <w:b/>
                <w:color w:val="0062FF"/>
                <w:sz w:val="19"/>
              </w:rPr>
              <w:t>Signed:</w:t>
            </w:r>
          </w:p>
        </w:tc>
        <w:tc>
          <w:tcPr>
            <w:tcW w:w="7654" w:type="dxa"/>
          </w:tcPr>
          <w:p w14:paraId="6971A5DC" w14:textId="77777777" w:rsidR="000823A4" w:rsidRPr="00636BD5" w:rsidRDefault="00000000">
            <w:pPr>
              <w:rPr>
                <w:lang w:val="it-CH"/>
              </w:rPr>
            </w:pPr>
            <w:r w:rsidRPr="00636BD5">
              <w:rPr>
                <w:rFonts w:ascii="Calibri" w:hAnsi="Calibri"/>
                <w:sz w:val="19"/>
                <w:lang w:val="it-CH"/>
              </w:rPr>
              <w:t>Sandra L. Morrow, CIA, CISA</w:t>
            </w:r>
          </w:p>
        </w:tc>
      </w:tr>
      <w:tr w:rsidR="000823A4" w14:paraId="305D4930" w14:textId="77777777">
        <w:tc>
          <w:tcPr>
            <w:tcW w:w="1701" w:type="dxa"/>
          </w:tcPr>
          <w:p w14:paraId="17DA16BC" w14:textId="77777777" w:rsidR="000823A4" w:rsidRDefault="00000000">
            <w:r>
              <w:rPr>
                <w:rFonts w:ascii="Calibri" w:hAnsi="Calibri"/>
                <w:b/>
                <w:color w:val="0062FF"/>
                <w:sz w:val="19"/>
              </w:rPr>
              <w:t>Title:</w:t>
            </w:r>
          </w:p>
        </w:tc>
        <w:tc>
          <w:tcPr>
            <w:tcW w:w="7654" w:type="dxa"/>
          </w:tcPr>
          <w:p w14:paraId="24A6DC47" w14:textId="708B9FA9" w:rsidR="000823A4" w:rsidRDefault="00000000">
            <w:r>
              <w:rPr>
                <w:rFonts w:ascii="Calibri" w:hAnsi="Calibri"/>
                <w:sz w:val="19"/>
              </w:rPr>
              <w:t xml:space="preserve">Chief Audit Executive, </w:t>
            </w:r>
            <w:r w:rsidR="00A26428">
              <w:rPr>
                <w:rFonts w:ascii="Calibri" w:hAnsi="Calibri"/>
                <w:sz w:val="19"/>
              </w:rPr>
              <w:t>Vantara Bank</w:t>
            </w:r>
          </w:p>
        </w:tc>
      </w:tr>
      <w:tr w:rsidR="000823A4" w14:paraId="56F933F7" w14:textId="77777777">
        <w:tc>
          <w:tcPr>
            <w:tcW w:w="1701" w:type="dxa"/>
          </w:tcPr>
          <w:p w14:paraId="05CD9586" w14:textId="77777777" w:rsidR="000823A4" w:rsidRDefault="00000000">
            <w:r>
              <w:rPr>
                <w:rFonts w:ascii="Calibri" w:hAnsi="Calibri"/>
                <w:b/>
                <w:color w:val="0062FF"/>
                <w:sz w:val="19"/>
              </w:rPr>
              <w:t>Date:</w:t>
            </w:r>
          </w:p>
        </w:tc>
        <w:tc>
          <w:tcPr>
            <w:tcW w:w="7654" w:type="dxa"/>
          </w:tcPr>
          <w:p w14:paraId="3AEDFC6A" w14:textId="7766AFF9" w:rsidR="000823A4" w:rsidRDefault="00E20F85">
            <w:r>
              <w:rPr>
                <w:rFonts w:ascii="Calibri" w:hAnsi="Calibri"/>
                <w:sz w:val="19"/>
              </w:rPr>
              <w:t>2026-10-15</w:t>
            </w:r>
          </w:p>
        </w:tc>
      </w:tr>
      <w:tr w:rsidR="000823A4" w14:paraId="15D6F630" w14:textId="77777777">
        <w:tc>
          <w:tcPr>
            <w:tcW w:w="1701" w:type="dxa"/>
          </w:tcPr>
          <w:p w14:paraId="314B732F" w14:textId="77777777" w:rsidR="000823A4" w:rsidRDefault="00000000">
            <w:r>
              <w:rPr>
                <w:rFonts w:ascii="Calibri" w:hAnsi="Calibri"/>
                <w:b/>
                <w:color w:val="0062FF"/>
                <w:sz w:val="19"/>
              </w:rPr>
              <w:t>Report:</w:t>
            </w:r>
          </w:p>
        </w:tc>
        <w:tc>
          <w:tcPr>
            <w:tcW w:w="7654" w:type="dxa"/>
          </w:tcPr>
          <w:p w14:paraId="368E8D7E" w14:textId="68E951AA" w:rsidR="000823A4" w:rsidRDefault="00636BD5">
            <w:r>
              <w:rPr>
                <w:rFonts w:ascii="Calibri" w:hAnsi="Calibri"/>
                <w:sz w:val="19"/>
              </w:rPr>
              <w:t>IA-VAB-Q3-2026-007</w:t>
            </w:r>
          </w:p>
        </w:tc>
      </w:tr>
    </w:tbl>
    <w:p w14:paraId="72AF59FD" w14:textId="77777777" w:rsidR="00385B1C" w:rsidRDefault="00385B1C"/>
    <w:sectPr w:rsidR="00385B1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46802">
    <w:abstractNumId w:val="8"/>
  </w:num>
  <w:num w:numId="2" w16cid:durableId="1578710205">
    <w:abstractNumId w:val="6"/>
  </w:num>
  <w:num w:numId="3" w16cid:durableId="1249593">
    <w:abstractNumId w:val="5"/>
  </w:num>
  <w:num w:numId="4" w16cid:durableId="203032154">
    <w:abstractNumId w:val="4"/>
  </w:num>
  <w:num w:numId="5" w16cid:durableId="869146981">
    <w:abstractNumId w:val="7"/>
  </w:num>
  <w:num w:numId="6" w16cid:durableId="1344434404">
    <w:abstractNumId w:val="3"/>
  </w:num>
  <w:num w:numId="7" w16cid:durableId="1634286659">
    <w:abstractNumId w:val="2"/>
  </w:num>
  <w:num w:numId="8" w16cid:durableId="1734694096">
    <w:abstractNumId w:val="1"/>
  </w:num>
  <w:num w:numId="9" w16cid:durableId="13765852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3A4"/>
    <w:rsid w:val="0015074B"/>
    <w:rsid w:val="0029639D"/>
    <w:rsid w:val="00326F90"/>
    <w:rsid w:val="00385B1C"/>
    <w:rsid w:val="00636BD5"/>
    <w:rsid w:val="00A26428"/>
    <w:rsid w:val="00AA1D8D"/>
    <w:rsid w:val="00B47730"/>
    <w:rsid w:val="00C23ECC"/>
    <w:rsid w:val="00CB0664"/>
    <w:rsid w:val="00E20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7E0AD"/>
  <w14:defaultImageDpi w14:val="300"/>
  <w15:docId w15:val="{1F1718DD-01DA-8F45-A318-5C7959FD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Cesar Berrospi Ramis</cp:lastModifiedBy>
  <cp:revision>3</cp:revision>
  <dcterms:created xsi:type="dcterms:W3CDTF">2013-12-23T23:15:00Z</dcterms:created>
  <dcterms:modified xsi:type="dcterms:W3CDTF">2026-10-21T00:28:00Z</dcterms:modified>
  <cp:category/>
</cp:coreProperties>
</file>