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DA157" w14:textId="77777777" w:rsidR="00A472F7" w:rsidRDefault="00A472F7" w:rsidP="00A472F7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Московский Государственный Университет</w:t>
      </w:r>
    </w:p>
    <w:p w14:paraId="6DB377F8" w14:textId="77777777" w:rsidR="00A472F7" w:rsidRDefault="00A472F7" w:rsidP="00A472F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имени М.В. Ломоносова</w:t>
      </w:r>
    </w:p>
    <w:p w14:paraId="190E5E8E" w14:textId="77777777" w:rsidR="00A472F7" w:rsidRDefault="00A472F7" w:rsidP="00A472F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Экономический факультет</w:t>
      </w:r>
    </w:p>
    <w:p w14:paraId="574E31FF" w14:textId="77777777" w:rsidR="00A472F7" w:rsidRDefault="00A472F7" w:rsidP="00A472F7">
      <w:pPr>
        <w:jc w:val="center"/>
        <w:rPr>
          <w:rFonts w:ascii="Times New Roman" w:eastAsia="Calibri" w:hAnsi="Times New Roman" w:cs="Times New Roman"/>
        </w:rPr>
      </w:pPr>
    </w:p>
    <w:p w14:paraId="6DE0D741" w14:textId="77777777" w:rsidR="00A472F7" w:rsidRDefault="00A472F7" w:rsidP="00A472F7">
      <w:pPr>
        <w:jc w:val="center"/>
        <w:rPr>
          <w:rFonts w:ascii="Times New Roman" w:eastAsia="Calibri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6E5F604" wp14:editId="2F1BBC17">
            <wp:extent cx="2638425" cy="1733550"/>
            <wp:effectExtent l="0" t="0" r="0" b="0"/>
            <wp:docPr id="1" name="Рисунок 0" descr="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0" descr="12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CDB9" w14:textId="77777777" w:rsidR="00A472F7" w:rsidRDefault="00A472F7" w:rsidP="00A472F7">
      <w:pPr>
        <w:rPr>
          <w:rFonts w:ascii="Times New Roman" w:eastAsia="Calibri" w:hAnsi="Times New Roman" w:cs="Times New Roman"/>
          <w:sz w:val="2"/>
          <w:szCs w:val="2"/>
        </w:rPr>
      </w:pPr>
    </w:p>
    <w:p w14:paraId="7E172ECF" w14:textId="77777777" w:rsidR="00A472F7" w:rsidRDefault="00A472F7" w:rsidP="00A472F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6BBE06" w14:textId="77777777" w:rsidR="00A472F7" w:rsidRDefault="00A472F7" w:rsidP="00A472F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65CBB6" w14:textId="77777777" w:rsidR="00A472F7" w:rsidRDefault="00867773" w:rsidP="00A472F7">
      <w:pPr>
        <w:spacing w:after="0" w:line="360" w:lineRule="auto"/>
        <w:jc w:val="center"/>
        <w:rPr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ИТОГОВЫЙ ПРОЕКТ</w:t>
      </w:r>
      <w:r w:rsidR="00A472F7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4644F5A9" w14:textId="77777777" w:rsidR="00A472F7" w:rsidRDefault="00A472F7" w:rsidP="00A472F7">
      <w:pPr>
        <w:spacing w:after="0" w:line="360" w:lineRule="auto"/>
        <w:jc w:val="center"/>
        <w:rPr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по курсу «</w:t>
      </w:r>
      <w:r w:rsidR="000D0F0C">
        <w:rPr>
          <w:rFonts w:ascii="Times New Roman" w:eastAsia="Calibri" w:hAnsi="Times New Roman" w:cs="Times New Roman"/>
          <w:sz w:val="32"/>
          <w:szCs w:val="32"/>
        </w:rPr>
        <w:t>Использование статистического пакета для социальных наук (</w:t>
      </w:r>
      <w:r w:rsidR="000D0F0C">
        <w:rPr>
          <w:rFonts w:ascii="Times New Roman" w:eastAsia="Calibri" w:hAnsi="Times New Roman" w:cs="Times New Roman"/>
          <w:sz w:val="32"/>
          <w:szCs w:val="32"/>
          <w:lang w:val="en-US"/>
        </w:rPr>
        <w:t>SPSS</w:t>
      </w:r>
      <w:r w:rsidR="000D0F0C">
        <w:rPr>
          <w:rFonts w:ascii="Times New Roman" w:eastAsia="Calibri" w:hAnsi="Times New Roman" w:cs="Times New Roman"/>
          <w:sz w:val="32"/>
          <w:szCs w:val="32"/>
        </w:rPr>
        <w:t>) в анализе данных</w:t>
      </w:r>
      <w:r>
        <w:rPr>
          <w:rFonts w:ascii="Times New Roman" w:eastAsia="Calibri" w:hAnsi="Times New Roman" w:cs="Times New Roman"/>
          <w:sz w:val="32"/>
          <w:szCs w:val="32"/>
        </w:rPr>
        <w:t>»</w:t>
      </w:r>
      <w:r w:rsidR="000D7BB5">
        <w:rPr>
          <w:rFonts w:ascii="Times New Roman" w:eastAsia="Calibri" w:hAnsi="Times New Roman" w:cs="Times New Roman"/>
          <w:sz w:val="32"/>
          <w:szCs w:val="32"/>
        </w:rPr>
        <w:t xml:space="preserve"> на тему «</w:t>
      </w:r>
      <w:r w:rsidR="00253BBB">
        <w:rPr>
          <w:rFonts w:ascii="Times New Roman" w:eastAsia="Calibri" w:hAnsi="Times New Roman" w:cs="Times New Roman"/>
          <w:sz w:val="32"/>
          <w:szCs w:val="32"/>
        </w:rPr>
        <w:t>Исследование процессов венчурного инвестирования в странах Северной Европы</w:t>
      </w:r>
      <w:r w:rsidR="000D7BB5">
        <w:rPr>
          <w:rFonts w:ascii="Times New Roman" w:eastAsia="Calibri" w:hAnsi="Times New Roman" w:cs="Times New Roman"/>
          <w:sz w:val="32"/>
          <w:szCs w:val="32"/>
        </w:rPr>
        <w:t>»</w:t>
      </w:r>
    </w:p>
    <w:p w14:paraId="5E9127A3" w14:textId="77777777" w:rsidR="00A472F7" w:rsidRDefault="00A472F7" w:rsidP="00A472F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AA90DB" w14:textId="77777777" w:rsidR="00A472F7" w:rsidRDefault="00A472F7" w:rsidP="00A472F7">
      <w:pPr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783BF9C" w14:textId="77777777" w:rsidR="00A472F7" w:rsidRDefault="00A472F7" w:rsidP="00A472F7">
      <w:pPr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45A70EE" w14:textId="77777777" w:rsidR="00A472F7" w:rsidRDefault="00A472F7" w:rsidP="00A472F7">
      <w:pPr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CAB4033" w14:textId="77777777" w:rsidR="00A472F7" w:rsidRDefault="00A472F7" w:rsidP="00A472F7">
      <w:pPr>
        <w:spacing w:after="0"/>
        <w:ind w:firstLine="709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CAEF12" w14:textId="77777777" w:rsidR="00A472F7" w:rsidRDefault="00A472F7" w:rsidP="00A472F7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44259D6" w14:textId="77777777" w:rsidR="00A472F7" w:rsidRDefault="00A472F7" w:rsidP="00A472F7">
      <w:pPr>
        <w:tabs>
          <w:tab w:val="left" w:pos="6197"/>
        </w:tabs>
        <w:spacing w:after="0" w:line="276" w:lineRule="auto"/>
        <w:ind w:left="4139"/>
      </w:pPr>
      <w:r>
        <w:rPr>
          <w:rFonts w:ascii="Times New Roman" w:eastAsia="Calibri" w:hAnsi="Times New Roman" w:cs="Times New Roman"/>
          <w:sz w:val="28"/>
          <w:szCs w:val="28"/>
        </w:rPr>
        <w:t>Выполнил: Барышников Илья Николаевич</w:t>
      </w:r>
    </w:p>
    <w:p w14:paraId="507D277B" w14:textId="55A4786C" w:rsidR="00A472F7" w:rsidRDefault="00A472F7" w:rsidP="00A472F7">
      <w:pPr>
        <w:spacing w:after="0" w:line="276" w:lineRule="auto"/>
        <w:ind w:left="4139"/>
      </w:pPr>
      <w:r>
        <w:rPr>
          <w:rFonts w:ascii="Times New Roman" w:eastAsia="Calibri" w:hAnsi="Times New Roman" w:cs="Times New Roman"/>
          <w:sz w:val="28"/>
          <w:szCs w:val="28"/>
        </w:rPr>
        <w:t>Группа: э</w:t>
      </w:r>
      <w:r w:rsidR="009A0ABE">
        <w:rPr>
          <w:rFonts w:ascii="Times New Roman" w:eastAsia="Calibri" w:hAnsi="Times New Roman" w:cs="Times New Roman"/>
          <w:sz w:val="28"/>
          <w:szCs w:val="28"/>
        </w:rPr>
        <w:t>6</w:t>
      </w:r>
      <w:r>
        <w:rPr>
          <w:rFonts w:ascii="Times New Roman" w:eastAsia="Calibri" w:hAnsi="Times New Roman" w:cs="Times New Roman"/>
          <w:sz w:val="28"/>
          <w:szCs w:val="28"/>
        </w:rPr>
        <w:t>11мирэк</w:t>
      </w:r>
    </w:p>
    <w:p w14:paraId="6C60711F" w14:textId="77777777" w:rsidR="00867773" w:rsidRDefault="00A472F7" w:rsidP="00867773">
      <w:pPr>
        <w:spacing w:after="0" w:line="276" w:lineRule="auto"/>
        <w:ind w:left="411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Преподаватель: </w:t>
      </w:r>
      <w:r w:rsidR="00867773">
        <w:rPr>
          <w:rFonts w:ascii="Times New Roman" w:eastAsia="Calibri" w:hAnsi="Times New Roman" w:cs="Times New Roman"/>
          <w:sz w:val="28"/>
          <w:szCs w:val="28"/>
        </w:rPr>
        <w:t xml:space="preserve">д.э.н., проф. </w:t>
      </w:r>
      <w:proofErr w:type="spellStart"/>
      <w:r w:rsidR="00867773">
        <w:rPr>
          <w:rFonts w:ascii="Times New Roman" w:eastAsia="Calibri" w:hAnsi="Times New Roman" w:cs="Times New Roman"/>
          <w:sz w:val="28"/>
          <w:szCs w:val="28"/>
        </w:rPr>
        <w:t>Кучмаева</w:t>
      </w:r>
      <w:proofErr w:type="spellEnd"/>
      <w:r w:rsidR="0086777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AE0B17D" w14:textId="77777777" w:rsidR="00A472F7" w:rsidRDefault="00867773" w:rsidP="00867773">
      <w:pPr>
        <w:spacing w:after="0" w:line="276" w:lineRule="auto"/>
        <w:ind w:left="6943"/>
      </w:pPr>
      <w:r>
        <w:rPr>
          <w:rFonts w:ascii="Times New Roman" w:eastAsia="Calibri" w:hAnsi="Times New Roman" w:cs="Times New Roman"/>
          <w:sz w:val="28"/>
          <w:szCs w:val="28"/>
        </w:rPr>
        <w:t>Оксана Викторовна</w:t>
      </w:r>
    </w:p>
    <w:p w14:paraId="2905F2BC" w14:textId="77777777" w:rsidR="00A472F7" w:rsidRDefault="00A472F7" w:rsidP="00A472F7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43DE678" w14:textId="77777777" w:rsidR="00A472F7" w:rsidRDefault="00A472F7" w:rsidP="00A472F7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5BF7112" w14:textId="77777777" w:rsidR="00A472F7" w:rsidRDefault="00A472F7" w:rsidP="00A472F7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C619376" w14:textId="77777777" w:rsidR="00262F0F" w:rsidRDefault="00262F0F" w:rsidP="00262F0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662DA21" w14:textId="77777777" w:rsidR="00A472F7" w:rsidRDefault="00A472F7" w:rsidP="00A472F7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56E9AB" w14:textId="77777777" w:rsidR="00A472F7" w:rsidRDefault="00A472F7" w:rsidP="00A472F7">
      <w:pPr>
        <w:spacing w:after="0" w:line="276" w:lineRule="auto"/>
        <w:jc w:val="center"/>
      </w:pPr>
      <w:r>
        <w:rPr>
          <w:rFonts w:ascii="Times New Roman" w:eastAsia="Calibri" w:hAnsi="Times New Roman" w:cs="Times New Roman"/>
          <w:sz w:val="28"/>
          <w:szCs w:val="28"/>
        </w:rPr>
        <w:t xml:space="preserve">Москва </w:t>
      </w:r>
    </w:p>
    <w:p w14:paraId="464F427A" w14:textId="77777777" w:rsidR="00AE199F" w:rsidRDefault="00A472F7" w:rsidP="00A472F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2021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49826242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69B617BD" w14:textId="77777777" w:rsidR="007E67E3" w:rsidRPr="00953CA2" w:rsidRDefault="00DB056B">
          <w:pPr>
            <w:pStyle w:val="a3"/>
            <w:rPr>
              <w:rFonts w:cs="Times New Roman"/>
              <w:sz w:val="32"/>
            </w:rPr>
          </w:pPr>
          <w:r w:rsidRPr="00953CA2">
            <w:rPr>
              <w:rFonts w:cs="Times New Roman"/>
              <w:sz w:val="32"/>
            </w:rPr>
            <w:t>Содержание</w:t>
          </w:r>
        </w:p>
        <w:p w14:paraId="09B98A33" w14:textId="77777777" w:rsidR="00A030BE" w:rsidRPr="00953CA2" w:rsidRDefault="00A030BE" w:rsidP="00A030BE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bookmarkStart w:id="0" w:name="_GoBack"/>
          <w:bookmarkEnd w:id="0"/>
        </w:p>
        <w:p w14:paraId="21E29F92" w14:textId="5976791D" w:rsidR="00953CA2" w:rsidRPr="00953CA2" w:rsidRDefault="007E67E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53CA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953CA2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53CA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89784914" w:history="1">
            <w:r w:rsidR="00953CA2" w:rsidRPr="00953CA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953CA2"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3CA2"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3CA2"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_Toc89784914 \h </w:instrText>
            </w:r>
            <w:r w:rsidR="00953CA2"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3CA2"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3CA2"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53CA2"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0653B" w14:textId="30939B4E" w:rsidR="00953CA2" w:rsidRPr="00953CA2" w:rsidRDefault="00953CA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4915" w:history="1">
            <w:r w:rsidRPr="00953CA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2. Исследование венчурных инвестиций в странах Северной Европы с помощью пакета </w:t>
            </w:r>
            <w:r w:rsidRPr="00953CA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SPSS</w:t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_Toc89784915 \h </w:instrText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83CF6" w14:textId="73ABD25F" w:rsidR="00953CA2" w:rsidRPr="00953CA2" w:rsidRDefault="00953C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4916" w:history="1">
            <w:r w:rsidRPr="00953CA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Стадии развития инновационных компаний. Описание источников данных и переменных.</w:t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_Toc89784916 \h </w:instrText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76982" w14:textId="457E938E" w:rsidR="00953CA2" w:rsidRPr="00953CA2" w:rsidRDefault="00953C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4917" w:history="1">
            <w:r w:rsidRPr="00953CA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 Анализ исходных данных с помощью частотных распределений и статистических характеристик (венчурная активность в регионе в 2010-х)</w:t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_Toc89784917 \h </w:instrText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7664A" w14:textId="660B6F02" w:rsidR="00953CA2" w:rsidRPr="00953CA2" w:rsidRDefault="00953C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4918" w:history="1">
            <w:r w:rsidRPr="00953CA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 Анализ зависимости показателей объёма венчурных инвестиций и ВВП страны (таблицы сопряжённости и непараметрические критерии)</w:t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_Toc89784918 \h </w:instrText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BD1FC" w14:textId="5ACC3714" w:rsidR="00953CA2" w:rsidRPr="00953CA2" w:rsidRDefault="00953C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4919" w:history="1">
            <w:r w:rsidRPr="00953CA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2.4. Анализ корреляции объёмов венчурного инвестирования и величины экономического роста (парные корреляции)</w:t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_Toc89784919 \h </w:instrText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3BE17" w14:textId="6C48D41D" w:rsidR="00953CA2" w:rsidRPr="00953CA2" w:rsidRDefault="00953C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4920" w:history="1">
            <w:r w:rsidRPr="00953CA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2.5. Анализ данных методом иерархической кластеризации. Изучение зависимости венчурных инвестиций от </w:t>
            </w:r>
            <w:r w:rsidRPr="00953CA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</w:t>
            </w:r>
            <w:r w:rsidRPr="00953CA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&amp;</w:t>
            </w:r>
            <w:r w:rsidRPr="00953CA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_Toc89784920 \h </w:instrText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F03079" w14:textId="5261E69D" w:rsidR="00953CA2" w:rsidRPr="00953CA2" w:rsidRDefault="00953CA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4921" w:history="1">
            <w:r w:rsidRPr="00953CA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3. Исследование зависимости объёма венчурных инвестиций в странах Северной Европы от факторов конкурентоспособности (их оценки </w:t>
            </w:r>
            <w:r w:rsidRPr="00953CA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WEF</w:t>
            </w:r>
            <w:r w:rsidRPr="00953CA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) методом регрессионного анализа</w:t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_Toc89784921 \h </w:instrText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809409" w14:textId="6EA0A5B1" w:rsidR="00953CA2" w:rsidRPr="00953CA2" w:rsidRDefault="00953CA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4922" w:history="1">
            <w:r w:rsidRPr="00953CA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 Заключение</w:t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_Toc89784922 \h </w:instrText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BDD55" w14:textId="741CAD56" w:rsidR="00953CA2" w:rsidRPr="00953CA2" w:rsidRDefault="00953CA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4923" w:history="1">
            <w:r w:rsidRPr="00953CA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_Toc89784923 \h </w:instrText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953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2E28E" w14:textId="48989D98" w:rsidR="007E67E3" w:rsidRDefault="007E67E3">
          <w:r w:rsidRPr="00953CA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A0A5845" w14:textId="77777777" w:rsidR="00AE199F" w:rsidRDefault="00AE199F">
      <w:pPr>
        <w:suppressAutoHyphens w:val="0"/>
        <w:rPr>
          <w:rFonts w:ascii="Times New Roman" w:eastAsia="Calibri" w:hAnsi="Times New Roman" w:cs="Times New Roman"/>
          <w:sz w:val="28"/>
          <w:szCs w:val="28"/>
        </w:rPr>
      </w:pPr>
    </w:p>
    <w:p w14:paraId="59E9447A" w14:textId="77777777" w:rsidR="007E67E3" w:rsidRPr="001A7AE1" w:rsidRDefault="00A472F7">
      <w:pPr>
        <w:suppressAutoHyphens w:val="0"/>
        <w:rPr>
          <w:lang w:val="en-US"/>
        </w:rPr>
      </w:pPr>
      <w:r>
        <w:br w:type="page"/>
      </w:r>
    </w:p>
    <w:p w14:paraId="64F4EE5C" w14:textId="77777777" w:rsidR="000E50BD" w:rsidRPr="001356A3" w:rsidRDefault="001356A3" w:rsidP="001356A3">
      <w:pPr>
        <w:pStyle w:val="1"/>
      </w:pPr>
      <w:bookmarkStart w:id="1" w:name="_Toc89784914"/>
      <w:r w:rsidRPr="001356A3">
        <w:lastRenderedPageBreak/>
        <w:t xml:space="preserve">1. </w:t>
      </w:r>
      <w:r w:rsidR="009B634D" w:rsidRPr="001356A3">
        <w:t>Введение</w:t>
      </w:r>
      <w:bookmarkEnd w:id="1"/>
    </w:p>
    <w:p w14:paraId="23692ACC" w14:textId="77777777" w:rsidR="00B166F9" w:rsidRPr="00252DAE" w:rsidRDefault="00B166F9" w:rsidP="00630498">
      <w:pPr>
        <w:suppressAutoHyphens w:val="0"/>
        <w:spacing w:after="0" w:line="276" w:lineRule="auto"/>
        <w:rPr>
          <w:rFonts w:ascii="Times New Roman" w:hAnsi="Times New Roman" w:cs="Times New Roman"/>
          <w:sz w:val="28"/>
        </w:rPr>
      </w:pPr>
    </w:p>
    <w:p w14:paraId="149B92C1" w14:textId="77777777" w:rsidR="00B166F9" w:rsidRDefault="007F33C6" w:rsidP="00630498">
      <w:pPr>
        <w:suppressAutoHyphens w:val="0"/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Молодые инновационные компании</w:t>
      </w:r>
      <w:r w:rsidR="00B01A80">
        <w:rPr>
          <w:rFonts w:ascii="Times New Roman" w:hAnsi="Times New Roman" w:cs="Times New Roman"/>
          <w:sz w:val="28"/>
        </w:rPr>
        <w:t>, как правило, не имеют значительных</w:t>
      </w:r>
      <w:r w:rsidR="005D6AA6">
        <w:rPr>
          <w:rFonts w:ascii="Times New Roman" w:hAnsi="Times New Roman" w:cs="Times New Roman"/>
          <w:sz w:val="28"/>
        </w:rPr>
        <w:t xml:space="preserve"> собственных</w:t>
      </w:r>
      <w:r w:rsidR="00B01A80">
        <w:rPr>
          <w:rFonts w:ascii="Times New Roman" w:hAnsi="Times New Roman" w:cs="Times New Roman"/>
          <w:sz w:val="28"/>
        </w:rPr>
        <w:t xml:space="preserve"> средств для своего развития, а иногда и даже для создания продукта, при этом не имеют деловую репутацию, опыт</w:t>
      </w:r>
      <w:r w:rsidR="008B76AB">
        <w:rPr>
          <w:rFonts w:ascii="Times New Roman" w:hAnsi="Times New Roman" w:cs="Times New Roman"/>
          <w:sz w:val="28"/>
        </w:rPr>
        <w:t>а</w:t>
      </w:r>
      <w:r w:rsidR="00B01A80">
        <w:rPr>
          <w:rFonts w:ascii="Times New Roman" w:hAnsi="Times New Roman" w:cs="Times New Roman"/>
          <w:sz w:val="28"/>
        </w:rPr>
        <w:t xml:space="preserve"> </w:t>
      </w:r>
      <w:r w:rsidR="008B76AB">
        <w:rPr>
          <w:rFonts w:ascii="Times New Roman" w:hAnsi="Times New Roman" w:cs="Times New Roman"/>
          <w:sz w:val="28"/>
        </w:rPr>
        <w:t>взаимодействия с банковскими структурами, собственности,</w:t>
      </w:r>
      <w:r w:rsidR="0052735A">
        <w:rPr>
          <w:rFonts w:ascii="Times New Roman" w:hAnsi="Times New Roman" w:cs="Times New Roman"/>
          <w:sz w:val="28"/>
        </w:rPr>
        <w:t xml:space="preserve"> которую </w:t>
      </w:r>
      <w:r w:rsidR="006132B4">
        <w:rPr>
          <w:rFonts w:ascii="Times New Roman" w:hAnsi="Times New Roman" w:cs="Times New Roman"/>
          <w:sz w:val="28"/>
        </w:rPr>
        <w:t>можно использовать в качестве залога</w:t>
      </w:r>
      <w:r w:rsidR="0052735A">
        <w:rPr>
          <w:rFonts w:ascii="Times New Roman" w:hAnsi="Times New Roman" w:cs="Times New Roman"/>
          <w:sz w:val="28"/>
        </w:rPr>
        <w:t>. Вследствие этого таким проектам закрыт доступ к традиционному долговому финансированию, и спас</w:t>
      </w:r>
      <w:r w:rsidR="00AA697F">
        <w:rPr>
          <w:rFonts w:ascii="Times New Roman" w:hAnsi="Times New Roman" w:cs="Times New Roman"/>
          <w:sz w:val="28"/>
        </w:rPr>
        <w:t>и</w:t>
      </w:r>
      <w:r w:rsidR="0052735A">
        <w:rPr>
          <w:rFonts w:ascii="Times New Roman" w:hAnsi="Times New Roman" w:cs="Times New Roman"/>
          <w:sz w:val="28"/>
        </w:rPr>
        <w:t>телями нередко становятся</w:t>
      </w:r>
      <w:r w:rsidR="006132B4">
        <w:rPr>
          <w:rFonts w:ascii="Times New Roman" w:hAnsi="Times New Roman" w:cs="Times New Roman"/>
          <w:sz w:val="28"/>
        </w:rPr>
        <w:t xml:space="preserve"> индивидуальные инвесторы (бизнес-ангелы) и венчурные фонды (могут иметь вид как специализированной структуры</w:t>
      </w:r>
      <w:r w:rsidR="000E5566">
        <w:rPr>
          <w:rFonts w:ascii="Times New Roman" w:hAnsi="Times New Roman" w:cs="Times New Roman"/>
          <w:sz w:val="28"/>
        </w:rPr>
        <w:t xml:space="preserve"> с управляющей компанией</w:t>
      </w:r>
      <w:r w:rsidR="006132B4">
        <w:rPr>
          <w:rFonts w:ascii="Times New Roman" w:hAnsi="Times New Roman" w:cs="Times New Roman"/>
          <w:sz w:val="28"/>
        </w:rPr>
        <w:t>, так и подразделения крупной корпорации и банка, сосредоточенного на инвестировании в подобные проекты). Такие инвестиции называются венчурными.</w:t>
      </w:r>
    </w:p>
    <w:p w14:paraId="2F59A3E5" w14:textId="77777777" w:rsidR="00BE3CA5" w:rsidRDefault="00BE3CA5" w:rsidP="00630498">
      <w:pPr>
        <w:suppressAutoHyphens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="00271E76">
        <w:rPr>
          <w:rFonts w:ascii="Times New Roman" w:hAnsi="Times New Roman"/>
          <w:sz w:val="28"/>
          <w:szCs w:val="28"/>
        </w:rPr>
        <w:t>Венчурные инвестиции — долгосрочные инвестиции (до 10 лет, чаще всего на 5-7 лет) в молодые растущие компании, характеризующиеся высокой степенью риска.</w:t>
      </w:r>
      <w:r w:rsidR="00271E76" w:rsidRPr="00271E76">
        <w:rPr>
          <w:rFonts w:ascii="Times New Roman" w:hAnsi="Times New Roman"/>
          <w:sz w:val="28"/>
          <w:szCs w:val="28"/>
        </w:rPr>
        <w:t xml:space="preserve"> </w:t>
      </w:r>
      <w:r w:rsidR="00271E76">
        <w:rPr>
          <w:rFonts w:ascii="Times New Roman" w:hAnsi="Times New Roman"/>
          <w:sz w:val="28"/>
          <w:szCs w:val="28"/>
        </w:rPr>
        <w:t>Рассмотрение их динамики, факторов, влияющих на неё, остаётся и будет оставаться актуальным, так как данный вид финансирования используется для поощрения инновационных проектов (с разной степенью новизны). Отличительной особенностью компаний, получающих венчурное инвестирование, является их потенциал экспоненциального роста, который приводит к многократным (в сотни и тысячи раз) прибылям для инвесторов. Они создаются для рыночной экспансии по всему миру, и «отдача» от таких инвестиций не подчиняется линейным законам в отличие от, например, привычного производства товаров. Риски таких вложений так же колоссальны, как и возможные прибыли: инновационные проекты воплощают собой идеи, не проходившие ранее проверку рынком, поэтому неудивительно, что 90% проектов терпят неудачу</w:t>
      </w:r>
      <w:r w:rsidR="00AF2CF2">
        <w:rPr>
          <w:rFonts w:ascii="Times New Roman" w:hAnsi="Times New Roman"/>
          <w:sz w:val="28"/>
          <w:szCs w:val="28"/>
        </w:rPr>
        <w:t xml:space="preserve"> </w:t>
      </w:r>
      <w:r w:rsidR="00AF2CF2" w:rsidRPr="00AF2CF2">
        <w:rPr>
          <w:rFonts w:ascii="Times New Roman" w:hAnsi="Times New Roman"/>
          <w:sz w:val="28"/>
          <w:szCs w:val="28"/>
        </w:rPr>
        <w:t>[1]</w:t>
      </w:r>
      <w:r w:rsidR="00271E76">
        <w:rPr>
          <w:rFonts w:ascii="Times New Roman" w:hAnsi="Times New Roman"/>
          <w:sz w:val="28"/>
          <w:szCs w:val="28"/>
        </w:rPr>
        <w:t>.</w:t>
      </w:r>
    </w:p>
    <w:p w14:paraId="1CF1615C" w14:textId="77777777" w:rsidR="00AA697F" w:rsidRDefault="00AA697F" w:rsidP="00630498">
      <w:pPr>
        <w:suppressAutoHyphens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="003D671B">
        <w:rPr>
          <w:rFonts w:ascii="Times New Roman" w:hAnsi="Times New Roman"/>
          <w:sz w:val="28"/>
          <w:szCs w:val="28"/>
        </w:rPr>
        <w:t xml:space="preserve">Будучи одним из основных источников финансирования </w:t>
      </w:r>
      <w:proofErr w:type="spellStart"/>
      <w:r w:rsidR="003D671B">
        <w:rPr>
          <w:rFonts w:ascii="Times New Roman" w:hAnsi="Times New Roman"/>
          <w:sz w:val="28"/>
          <w:szCs w:val="28"/>
        </w:rPr>
        <w:t>высокорисковых</w:t>
      </w:r>
      <w:proofErr w:type="spellEnd"/>
      <w:r w:rsidR="003D671B">
        <w:rPr>
          <w:rFonts w:ascii="Times New Roman" w:hAnsi="Times New Roman"/>
          <w:sz w:val="28"/>
          <w:szCs w:val="28"/>
        </w:rPr>
        <w:t xml:space="preserve"> инновационных проектов, венчурные инвестиции, безусловно, относятся к факторам развития инноваций. </w:t>
      </w:r>
      <w:r w:rsidR="0008520F">
        <w:rPr>
          <w:rFonts w:ascii="Times New Roman" w:hAnsi="Times New Roman"/>
          <w:sz w:val="28"/>
          <w:szCs w:val="28"/>
        </w:rPr>
        <w:t>Инновационное развитие определяется</w:t>
      </w:r>
      <w:r w:rsidR="003D671B">
        <w:rPr>
          <w:rFonts w:ascii="Times New Roman" w:hAnsi="Times New Roman"/>
          <w:sz w:val="28"/>
          <w:szCs w:val="28"/>
        </w:rPr>
        <w:t xml:space="preserve"> как системн</w:t>
      </w:r>
      <w:r w:rsidR="0008520F">
        <w:rPr>
          <w:rFonts w:ascii="Times New Roman" w:hAnsi="Times New Roman"/>
          <w:sz w:val="28"/>
          <w:szCs w:val="28"/>
        </w:rPr>
        <w:t>ый</w:t>
      </w:r>
      <w:r w:rsidR="003D671B">
        <w:rPr>
          <w:rFonts w:ascii="Times New Roman" w:hAnsi="Times New Roman"/>
          <w:sz w:val="28"/>
          <w:szCs w:val="28"/>
        </w:rPr>
        <w:t xml:space="preserve"> и структурн</w:t>
      </w:r>
      <w:r w:rsidR="0008520F">
        <w:rPr>
          <w:rFonts w:ascii="Times New Roman" w:hAnsi="Times New Roman"/>
          <w:sz w:val="28"/>
          <w:szCs w:val="28"/>
        </w:rPr>
        <w:t>ый</w:t>
      </w:r>
      <w:r w:rsidR="003D671B">
        <w:rPr>
          <w:rFonts w:ascii="Times New Roman" w:hAnsi="Times New Roman"/>
          <w:sz w:val="28"/>
          <w:szCs w:val="28"/>
        </w:rPr>
        <w:t xml:space="preserve"> подход, определяющ</w:t>
      </w:r>
      <w:r w:rsidR="00B53762">
        <w:rPr>
          <w:rFonts w:ascii="Times New Roman" w:hAnsi="Times New Roman"/>
          <w:sz w:val="28"/>
          <w:szCs w:val="28"/>
        </w:rPr>
        <w:t>ий</w:t>
      </w:r>
      <w:r w:rsidR="003D671B">
        <w:rPr>
          <w:rFonts w:ascii="Times New Roman" w:hAnsi="Times New Roman"/>
          <w:sz w:val="28"/>
          <w:szCs w:val="28"/>
        </w:rPr>
        <w:t xml:space="preserve"> развитие экономики, ко всему объёму инновационный процессов и их взаимодействию, в основе которых выступают инновации, инновационные продукты (инновационные производства)</w:t>
      </w:r>
      <w:r w:rsidR="003D671B" w:rsidRPr="00D44682">
        <w:rPr>
          <w:rFonts w:ascii="Times New Roman" w:hAnsi="Times New Roman"/>
          <w:sz w:val="28"/>
          <w:szCs w:val="28"/>
        </w:rPr>
        <w:t xml:space="preserve"> </w:t>
      </w:r>
      <w:r w:rsidR="003D671B">
        <w:rPr>
          <w:rFonts w:ascii="Times New Roman" w:hAnsi="Times New Roman"/>
          <w:sz w:val="28"/>
          <w:szCs w:val="28"/>
        </w:rPr>
        <w:t>и инновационная форма услуг</w:t>
      </w:r>
      <w:r w:rsidR="003D671B" w:rsidRPr="00EA5290">
        <w:rPr>
          <w:rFonts w:ascii="Times New Roman" w:hAnsi="Times New Roman"/>
          <w:sz w:val="28"/>
          <w:szCs w:val="28"/>
        </w:rPr>
        <w:t xml:space="preserve"> [</w:t>
      </w:r>
      <w:r w:rsidR="003D671B">
        <w:rPr>
          <w:rFonts w:ascii="Times New Roman" w:hAnsi="Times New Roman"/>
          <w:sz w:val="28"/>
          <w:szCs w:val="28"/>
        </w:rPr>
        <w:t>2</w:t>
      </w:r>
      <w:r w:rsidR="003D671B" w:rsidRPr="00EA5290">
        <w:rPr>
          <w:rFonts w:ascii="Times New Roman" w:hAnsi="Times New Roman"/>
          <w:sz w:val="28"/>
          <w:szCs w:val="28"/>
        </w:rPr>
        <w:t>]</w:t>
      </w:r>
      <w:r w:rsidR="003D671B">
        <w:rPr>
          <w:rFonts w:ascii="Times New Roman" w:hAnsi="Times New Roman"/>
          <w:sz w:val="28"/>
          <w:szCs w:val="28"/>
        </w:rPr>
        <w:t>. Таким образом, венчурные инвестиции, как фактор развития инноваций, являются подпиткой и для всего инновационного развития страны.</w:t>
      </w:r>
    </w:p>
    <w:p w14:paraId="7330BFBD" w14:textId="77777777" w:rsidR="00A334EF" w:rsidRDefault="00A334EF" w:rsidP="00630498">
      <w:pPr>
        <w:suppressAutoHyphens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04FD2">
        <w:rPr>
          <w:rFonts w:ascii="Times New Roman" w:hAnsi="Times New Roman"/>
          <w:sz w:val="28"/>
          <w:szCs w:val="28"/>
        </w:rPr>
        <w:t>Особую актуальность данному проекту даёт рассмотрение показателей</w:t>
      </w:r>
      <w:r w:rsidR="00BB7DBB">
        <w:rPr>
          <w:rFonts w:ascii="Times New Roman" w:hAnsi="Times New Roman"/>
          <w:sz w:val="28"/>
          <w:szCs w:val="28"/>
        </w:rPr>
        <w:t xml:space="preserve"> венчурного инвестирования</w:t>
      </w:r>
      <w:r w:rsidR="00C04FD2">
        <w:rPr>
          <w:rFonts w:ascii="Times New Roman" w:hAnsi="Times New Roman"/>
          <w:sz w:val="28"/>
          <w:szCs w:val="28"/>
        </w:rPr>
        <w:t xml:space="preserve"> </w:t>
      </w:r>
      <w:r w:rsidR="00B52524">
        <w:rPr>
          <w:rFonts w:ascii="Times New Roman" w:hAnsi="Times New Roman"/>
          <w:sz w:val="28"/>
          <w:szCs w:val="28"/>
        </w:rPr>
        <w:t xml:space="preserve">именно </w:t>
      </w:r>
      <w:r w:rsidR="00C04FD2">
        <w:rPr>
          <w:rFonts w:ascii="Times New Roman" w:hAnsi="Times New Roman"/>
          <w:sz w:val="28"/>
          <w:szCs w:val="28"/>
        </w:rPr>
        <w:t>стран Северной Европы (Дания, Швеция, Финляндия, Норвегия)</w:t>
      </w:r>
      <w:r w:rsidR="00B86B54">
        <w:rPr>
          <w:rFonts w:ascii="Times New Roman" w:hAnsi="Times New Roman"/>
          <w:sz w:val="28"/>
          <w:szCs w:val="28"/>
        </w:rPr>
        <w:t xml:space="preserve">, являющейся </w:t>
      </w:r>
      <w:r w:rsidR="00E359D6">
        <w:rPr>
          <w:rFonts w:ascii="Times New Roman" w:hAnsi="Times New Roman"/>
          <w:sz w:val="28"/>
          <w:szCs w:val="28"/>
        </w:rPr>
        <w:t xml:space="preserve">одним из лидеров по показателям уровня </w:t>
      </w:r>
      <w:r w:rsidR="00E359D6">
        <w:rPr>
          <w:rFonts w:ascii="Times New Roman" w:hAnsi="Times New Roman"/>
          <w:sz w:val="28"/>
          <w:szCs w:val="28"/>
        </w:rPr>
        <w:lastRenderedPageBreak/>
        <w:t>жизни</w:t>
      </w:r>
      <w:r w:rsidR="00BB69BC">
        <w:rPr>
          <w:rFonts w:ascii="Times New Roman" w:hAnsi="Times New Roman"/>
          <w:sz w:val="28"/>
          <w:szCs w:val="28"/>
        </w:rPr>
        <w:t xml:space="preserve"> (все страны входят в топ-10 рейтинг </w:t>
      </w:r>
      <w:r w:rsidR="00BB69BC">
        <w:rPr>
          <w:rFonts w:ascii="Times New Roman" w:hAnsi="Times New Roman"/>
          <w:sz w:val="28"/>
          <w:szCs w:val="28"/>
          <w:lang w:val="en-US"/>
        </w:rPr>
        <w:t>OECD</w:t>
      </w:r>
      <w:r w:rsidR="00BB69BC" w:rsidRPr="005454BC">
        <w:rPr>
          <w:rFonts w:ascii="Times New Roman" w:hAnsi="Times New Roman"/>
          <w:sz w:val="28"/>
          <w:szCs w:val="28"/>
        </w:rPr>
        <w:t xml:space="preserve"> </w:t>
      </w:r>
      <w:r w:rsidR="00BB69BC">
        <w:rPr>
          <w:rFonts w:ascii="Times New Roman" w:hAnsi="Times New Roman"/>
          <w:sz w:val="28"/>
          <w:szCs w:val="28"/>
          <w:lang w:val="en-US"/>
        </w:rPr>
        <w:t>Better</w:t>
      </w:r>
      <w:r w:rsidR="00BB69BC" w:rsidRPr="005454BC">
        <w:rPr>
          <w:rFonts w:ascii="Times New Roman" w:hAnsi="Times New Roman"/>
          <w:sz w:val="28"/>
          <w:szCs w:val="28"/>
        </w:rPr>
        <w:t xml:space="preserve"> </w:t>
      </w:r>
      <w:r w:rsidR="00BB69BC">
        <w:rPr>
          <w:rFonts w:ascii="Times New Roman" w:hAnsi="Times New Roman"/>
          <w:sz w:val="28"/>
          <w:szCs w:val="28"/>
          <w:lang w:val="en-US"/>
        </w:rPr>
        <w:t>Life</w:t>
      </w:r>
      <w:r w:rsidR="00BB69BC" w:rsidRPr="005454BC">
        <w:rPr>
          <w:rFonts w:ascii="Times New Roman" w:hAnsi="Times New Roman"/>
          <w:sz w:val="28"/>
          <w:szCs w:val="28"/>
        </w:rPr>
        <w:t xml:space="preserve"> </w:t>
      </w:r>
      <w:r w:rsidR="00BB69BC">
        <w:rPr>
          <w:rFonts w:ascii="Times New Roman" w:hAnsi="Times New Roman"/>
          <w:sz w:val="28"/>
          <w:szCs w:val="28"/>
          <w:lang w:val="en-US"/>
        </w:rPr>
        <w:t>Index</w:t>
      </w:r>
      <w:r w:rsidR="00BB69BC">
        <w:rPr>
          <w:rFonts w:ascii="Times New Roman" w:hAnsi="Times New Roman"/>
          <w:sz w:val="28"/>
          <w:szCs w:val="28"/>
        </w:rPr>
        <w:t>)</w:t>
      </w:r>
      <w:r w:rsidR="00E359D6">
        <w:rPr>
          <w:rFonts w:ascii="Times New Roman" w:hAnsi="Times New Roman"/>
          <w:sz w:val="28"/>
          <w:szCs w:val="28"/>
        </w:rPr>
        <w:t>, инновационному потенциалу</w:t>
      </w:r>
      <w:r w:rsidR="00BB69BC">
        <w:rPr>
          <w:rFonts w:ascii="Times New Roman" w:hAnsi="Times New Roman"/>
          <w:sz w:val="28"/>
          <w:szCs w:val="28"/>
        </w:rPr>
        <w:t xml:space="preserve"> (отчёт </w:t>
      </w:r>
      <w:r w:rsidR="00BB69BC">
        <w:rPr>
          <w:rFonts w:ascii="Times New Roman" w:hAnsi="Times New Roman"/>
          <w:sz w:val="28"/>
          <w:szCs w:val="28"/>
          <w:lang w:val="en-US"/>
        </w:rPr>
        <w:t>World</w:t>
      </w:r>
      <w:r w:rsidR="00BB69BC" w:rsidRPr="00BB69BC">
        <w:rPr>
          <w:rFonts w:ascii="Times New Roman" w:hAnsi="Times New Roman"/>
          <w:sz w:val="28"/>
          <w:szCs w:val="28"/>
        </w:rPr>
        <w:t xml:space="preserve"> </w:t>
      </w:r>
      <w:r w:rsidR="00BB69BC">
        <w:rPr>
          <w:rFonts w:ascii="Times New Roman" w:hAnsi="Times New Roman"/>
          <w:sz w:val="28"/>
          <w:szCs w:val="28"/>
          <w:lang w:val="en-US"/>
        </w:rPr>
        <w:t>Economic</w:t>
      </w:r>
      <w:r w:rsidR="00BB69BC" w:rsidRPr="00BB69BC">
        <w:rPr>
          <w:rFonts w:ascii="Times New Roman" w:hAnsi="Times New Roman"/>
          <w:sz w:val="28"/>
          <w:szCs w:val="28"/>
        </w:rPr>
        <w:t xml:space="preserve"> </w:t>
      </w:r>
      <w:r w:rsidR="00BB69BC">
        <w:rPr>
          <w:rFonts w:ascii="Times New Roman" w:hAnsi="Times New Roman"/>
          <w:sz w:val="28"/>
          <w:szCs w:val="28"/>
          <w:lang w:val="en-US"/>
        </w:rPr>
        <w:t>Forum</w:t>
      </w:r>
      <w:r w:rsidR="00BB69BC" w:rsidRPr="00BB69BC">
        <w:rPr>
          <w:rFonts w:ascii="Times New Roman" w:hAnsi="Times New Roman"/>
          <w:sz w:val="28"/>
          <w:szCs w:val="28"/>
        </w:rPr>
        <w:t xml:space="preserve"> </w:t>
      </w:r>
      <w:r w:rsidR="00BB69BC">
        <w:rPr>
          <w:rFonts w:ascii="Times New Roman" w:hAnsi="Times New Roman"/>
          <w:sz w:val="28"/>
          <w:szCs w:val="28"/>
          <w:lang w:val="en-US"/>
        </w:rPr>
        <w:t>Global</w:t>
      </w:r>
      <w:r w:rsidR="00BB69BC" w:rsidRPr="00BB69BC">
        <w:rPr>
          <w:rFonts w:ascii="Times New Roman" w:hAnsi="Times New Roman"/>
          <w:sz w:val="28"/>
          <w:szCs w:val="28"/>
        </w:rPr>
        <w:t xml:space="preserve"> </w:t>
      </w:r>
      <w:r w:rsidR="00BB69BC">
        <w:rPr>
          <w:rFonts w:ascii="Times New Roman" w:hAnsi="Times New Roman"/>
          <w:sz w:val="28"/>
          <w:szCs w:val="28"/>
          <w:lang w:val="en-US"/>
        </w:rPr>
        <w:t>Competitiveness</w:t>
      </w:r>
      <w:r w:rsidR="00BB69BC" w:rsidRPr="00BB69BC">
        <w:rPr>
          <w:rFonts w:ascii="Times New Roman" w:hAnsi="Times New Roman"/>
          <w:sz w:val="28"/>
          <w:szCs w:val="28"/>
        </w:rPr>
        <w:t xml:space="preserve"> </w:t>
      </w:r>
      <w:r w:rsidR="00BB69BC">
        <w:rPr>
          <w:rFonts w:ascii="Times New Roman" w:hAnsi="Times New Roman"/>
          <w:sz w:val="28"/>
          <w:szCs w:val="28"/>
          <w:lang w:val="en-US"/>
        </w:rPr>
        <w:t>Report</w:t>
      </w:r>
      <w:r w:rsidR="00BB69BC" w:rsidRPr="00BB69BC">
        <w:rPr>
          <w:rFonts w:ascii="Times New Roman" w:hAnsi="Times New Roman"/>
          <w:sz w:val="28"/>
          <w:szCs w:val="28"/>
        </w:rPr>
        <w:t xml:space="preserve"> </w:t>
      </w:r>
      <w:r w:rsidR="00BB69BC">
        <w:rPr>
          <w:rFonts w:ascii="Times New Roman" w:hAnsi="Times New Roman"/>
          <w:sz w:val="28"/>
          <w:szCs w:val="28"/>
        </w:rPr>
        <w:t>2019 Швеция по этому показателю занимает 5-е место, Финляндия – 12-е, Дания – 11-е, Норвегия – 20-е).</w:t>
      </w:r>
      <w:r w:rsidR="00BB7DBB">
        <w:rPr>
          <w:rFonts w:ascii="Times New Roman" w:hAnsi="Times New Roman"/>
          <w:sz w:val="28"/>
          <w:szCs w:val="28"/>
        </w:rPr>
        <w:t xml:space="preserve"> </w:t>
      </w:r>
      <w:r w:rsidR="000C0516">
        <w:rPr>
          <w:rFonts w:ascii="Times New Roman" w:hAnsi="Times New Roman"/>
          <w:sz w:val="28"/>
          <w:szCs w:val="28"/>
        </w:rPr>
        <w:t>Это лидерство стало возможным благодаря внедрению инноваций, развитых в том числе и с помощью венчурного инвестирования.</w:t>
      </w:r>
    </w:p>
    <w:p w14:paraId="3038B424" w14:textId="0CFF75A0" w:rsidR="00051A54" w:rsidRPr="0008653C" w:rsidRDefault="00051A54" w:rsidP="00630498">
      <w:pPr>
        <w:suppressAutoHyphens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текущем проекте будут использоваться данные О</w:t>
      </w:r>
      <w:r w:rsidR="00E24BF0">
        <w:rPr>
          <w:rFonts w:ascii="Times New Roman" w:hAnsi="Times New Roman"/>
          <w:sz w:val="28"/>
          <w:szCs w:val="28"/>
        </w:rPr>
        <w:t>рганизации экономического сотрудничества и ра</w:t>
      </w:r>
      <w:r w:rsidR="0095279E">
        <w:rPr>
          <w:rFonts w:ascii="Times New Roman" w:hAnsi="Times New Roman"/>
          <w:sz w:val="28"/>
          <w:szCs w:val="28"/>
        </w:rPr>
        <w:t>зв</w:t>
      </w:r>
      <w:r w:rsidR="00E24BF0">
        <w:rPr>
          <w:rFonts w:ascii="Times New Roman" w:hAnsi="Times New Roman"/>
          <w:sz w:val="28"/>
          <w:szCs w:val="28"/>
        </w:rPr>
        <w:t xml:space="preserve">ития </w:t>
      </w:r>
      <w:r>
        <w:rPr>
          <w:rFonts w:ascii="Times New Roman" w:hAnsi="Times New Roman"/>
          <w:sz w:val="28"/>
          <w:szCs w:val="28"/>
        </w:rPr>
        <w:t>(</w:t>
      </w:r>
      <w:r w:rsidR="00E24BF0">
        <w:rPr>
          <w:rFonts w:ascii="Times New Roman" w:hAnsi="Times New Roman"/>
          <w:sz w:val="28"/>
          <w:szCs w:val="28"/>
        </w:rPr>
        <w:t>ОЭСР</w:t>
      </w:r>
      <w:r>
        <w:rPr>
          <w:rFonts w:ascii="Times New Roman" w:hAnsi="Times New Roman"/>
          <w:sz w:val="28"/>
          <w:szCs w:val="28"/>
        </w:rPr>
        <w:t xml:space="preserve">), Всемирного Банка и </w:t>
      </w:r>
      <w:r>
        <w:rPr>
          <w:rFonts w:ascii="Times New Roman" w:hAnsi="Times New Roman"/>
          <w:sz w:val="28"/>
          <w:szCs w:val="28"/>
          <w:lang w:val="en-US"/>
        </w:rPr>
        <w:t>World</w:t>
      </w:r>
      <w:r w:rsidRPr="00051A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Economic</w:t>
      </w:r>
      <w:r w:rsidRPr="00051A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Forum</w:t>
      </w:r>
      <w:r w:rsidRPr="00051A54">
        <w:rPr>
          <w:rFonts w:ascii="Times New Roman" w:hAnsi="Times New Roman"/>
          <w:sz w:val="28"/>
          <w:szCs w:val="28"/>
        </w:rPr>
        <w:t xml:space="preserve">. </w:t>
      </w:r>
      <w:r w:rsidR="00E10071">
        <w:rPr>
          <w:rFonts w:ascii="Times New Roman" w:hAnsi="Times New Roman"/>
          <w:sz w:val="28"/>
          <w:szCs w:val="28"/>
        </w:rPr>
        <w:t>Главной задачей проекта является поиск закономерностей внутри региона, исследование зависимостей</w:t>
      </w:r>
      <w:r w:rsidR="002F37BD">
        <w:rPr>
          <w:rFonts w:ascii="Times New Roman" w:hAnsi="Times New Roman"/>
          <w:sz w:val="28"/>
          <w:szCs w:val="28"/>
        </w:rPr>
        <w:t xml:space="preserve">, связанных с венчурным инвестированием в Северной Европе </w:t>
      </w:r>
      <w:r w:rsidR="00E10071">
        <w:rPr>
          <w:rFonts w:ascii="Times New Roman" w:hAnsi="Times New Roman"/>
          <w:sz w:val="28"/>
          <w:szCs w:val="28"/>
        </w:rPr>
        <w:t>(например, объёма венчурного инвестирования от вложений в НИОКР, динамики объёмов венчурного инвестирования и её сопоставление с динамикой ВВП</w:t>
      </w:r>
      <w:r w:rsidR="00F1651A">
        <w:rPr>
          <w:rFonts w:ascii="Times New Roman" w:hAnsi="Times New Roman"/>
          <w:sz w:val="28"/>
          <w:szCs w:val="28"/>
        </w:rPr>
        <w:t xml:space="preserve">, </w:t>
      </w:r>
      <w:r w:rsidR="00483BBD">
        <w:rPr>
          <w:rFonts w:ascii="Times New Roman" w:hAnsi="Times New Roman"/>
          <w:sz w:val="28"/>
          <w:szCs w:val="28"/>
        </w:rPr>
        <w:t>экономического роста</w:t>
      </w:r>
      <w:r w:rsidR="00EA362E" w:rsidRPr="00EA362E">
        <w:rPr>
          <w:rFonts w:ascii="Times New Roman" w:hAnsi="Times New Roman"/>
          <w:sz w:val="28"/>
          <w:szCs w:val="28"/>
        </w:rPr>
        <w:t>)</w:t>
      </w:r>
      <w:r w:rsidR="00515DB6">
        <w:rPr>
          <w:rFonts w:ascii="Times New Roman" w:hAnsi="Times New Roman"/>
          <w:sz w:val="28"/>
          <w:szCs w:val="28"/>
        </w:rPr>
        <w:t>. Для этого буд</w:t>
      </w:r>
      <w:r w:rsidR="00EA362E">
        <w:rPr>
          <w:rFonts w:ascii="Times New Roman" w:hAnsi="Times New Roman"/>
          <w:sz w:val="28"/>
          <w:szCs w:val="28"/>
        </w:rPr>
        <w:t>у</w:t>
      </w:r>
      <w:r w:rsidR="00515DB6">
        <w:rPr>
          <w:rFonts w:ascii="Times New Roman" w:hAnsi="Times New Roman"/>
          <w:sz w:val="28"/>
          <w:szCs w:val="28"/>
        </w:rPr>
        <w:t>т использованы методы</w:t>
      </w:r>
      <w:r w:rsidR="00EA362E">
        <w:rPr>
          <w:rFonts w:ascii="Times New Roman" w:hAnsi="Times New Roman"/>
          <w:sz w:val="28"/>
          <w:szCs w:val="28"/>
        </w:rPr>
        <w:t xml:space="preserve"> частотного анализа,</w:t>
      </w:r>
      <w:r w:rsidR="00515DB6">
        <w:rPr>
          <w:rFonts w:ascii="Times New Roman" w:hAnsi="Times New Roman"/>
          <w:sz w:val="28"/>
          <w:szCs w:val="28"/>
        </w:rPr>
        <w:t xml:space="preserve"> таблиц сопряжённости, проверок распределений, кластерн</w:t>
      </w:r>
      <w:r w:rsidR="00EA362E">
        <w:rPr>
          <w:rFonts w:ascii="Times New Roman" w:hAnsi="Times New Roman"/>
          <w:sz w:val="28"/>
          <w:szCs w:val="28"/>
        </w:rPr>
        <w:t>ого</w:t>
      </w:r>
      <w:r w:rsidR="00515DB6">
        <w:rPr>
          <w:rFonts w:ascii="Times New Roman" w:hAnsi="Times New Roman"/>
          <w:sz w:val="28"/>
          <w:szCs w:val="28"/>
        </w:rPr>
        <w:t xml:space="preserve"> </w:t>
      </w:r>
      <w:r w:rsidR="00EA362E">
        <w:rPr>
          <w:rFonts w:ascii="Times New Roman" w:hAnsi="Times New Roman"/>
          <w:sz w:val="28"/>
          <w:szCs w:val="28"/>
        </w:rPr>
        <w:t>анализа</w:t>
      </w:r>
      <w:r w:rsidR="00515DB6">
        <w:rPr>
          <w:rFonts w:ascii="Times New Roman" w:hAnsi="Times New Roman"/>
          <w:sz w:val="28"/>
          <w:szCs w:val="28"/>
        </w:rPr>
        <w:t xml:space="preserve">. Методом регрессионного анализа будет исследована </w:t>
      </w:r>
      <w:r w:rsidR="00F1651A">
        <w:rPr>
          <w:rFonts w:ascii="Times New Roman" w:hAnsi="Times New Roman"/>
          <w:sz w:val="28"/>
          <w:szCs w:val="28"/>
        </w:rPr>
        <w:t xml:space="preserve">зависимость венчурных инвестиций от факторов конкурентоспособности (их оценок </w:t>
      </w:r>
      <w:r w:rsidR="00F1651A">
        <w:rPr>
          <w:rFonts w:ascii="Times New Roman" w:hAnsi="Times New Roman"/>
          <w:sz w:val="28"/>
          <w:szCs w:val="28"/>
          <w:lang w:val="en-US"/>
        </w:rPr>
        <w:t>WEF</w:t>
      </w:r>
      <w:r w:rsidR="00F1651A" w:rsidRPr="00F1651A">
        <w:rPr>
          <w:rFonts w:ascii="Times New Roman" w:hAnsi="Times New Roman"/>
          <w:sz w:val="28"/>
          <w:szCs w:val="28"/>
        </w:rPr>
        <w:t>)</w:t>
      </w:r>
      <w:r w:rsidR="00E10071">
        <w:rPr>
          <w:rFonts w:ascii="Times New Roman" w:hAnsi="Times New Roman"/>
          <w:sz w:val="28"/>
          <w:szCs w:val="28"/>
        </w:rPr>
        <w:t>.</w:t>
      </w:r>
      <w:r w:rsidR="00B72127">
        <w:rPr>
          <w:rFonts w:ascii="Times New Roman" w:hAnsi="Times New Roman"/>
          <w:sz w:val="28"/>
          <w:szCs w:val="28"/>
        </w:rPr>
        <w:t xml:space="preserve"> </w:t>
      </w:r>
      <w:r w:rsidR="0008653C">
        <w:rPr>
          <w:rFonts w:ascii="Times New Roman" w:hAnsi="Times New Roman"/>
          <w:sz w:val="28"/>
          <w:szCs w:val="28"/>
        </w:rPr>
        <w:t xml:space="preserve">Все методы реализованы в программном пакете </w:t>
      </w:r>
      <w:r w:rsidR="0008653C">
        <w:rPr>
          <w:rFonts w:ascii="Times New Roman" w:hAnsi="Times New Roman"/>
          <w:sz w:val="28"/>
          <w:szCs w:val="28"/>
          <w:lang w:val="en-US"/>
        </w:rPr>
        <w:t>SPSS</w:t>
      </w:r>
      <w:r w:rsidR="0008653C">
        <w:rPr>
          <w:rFonts w:ascii="Times New Roman" w:hAnsi="Times New Roman"/>
          <w:sz w:val="28"/>
          <w:szCs w:val="28"/>
        </w:rPr>
        <w:t>, результаты вычислений в котором приведены в таблицах и диаграммах.</w:t>
      </w:r>
    </w:p>
    <w:p w14:paraId="197959A4" w14:textId="77777777" w:rsidR="00A525CC" w:rsidRDefault="00A525CC" w:rsidP="00A80891">
      <w:pPr>
        <w:suppressAutoHyphens w:val="0"/>
        <w:spacing w:after="0" w:line="240" w:lineRule="auto"/>
      </w:pPr>
      <w:r>
        <w:br w:type="page"/>
      </w:r>
      <w:r w:rsidR="0052735A">
        <w:lastRenderedPageBreak/>
        <w:t xml:space="preserve"> </w:t>
      </w:r>
    </w:p>
    <w:p w14:paraId="5F709BC1" w14:textId="77777777" w:rsidR="00FD2521" w:rsidRPr="00252DAE" w:rsidRDefault="001356A3" w:rsidP="00A877CF">
      <w:pPr>
        <w:pStyle w:val="1"/>
        <w:spacing w:before="0" w:line="276" w:lineRule="auto"/>
      </w:pPr>
      <w:bookmarkStart w:id="2" w:name="_Toc89784915"/>
      <w:r>
        <w:t xml:space="preserve">2. </w:t>
      </w:r>
      <w:r w:rsidR="00A024A3">
        <w:t xml:space="preserve">Исследование венчурных инвестиций в странах Северной Европы с помощью пакета </w:t>
      </w:r>
      <w:r w:rsidR="00A024A3">
        <w:rPr>
          <w:lang w:val="en-US"/>
        </w:rPr>
        <w:t>SPSS</w:t>
      </w:r>
      <w:bookmarkEnd w:id="2"/>
    </w:p>
    <w:p w14:paraId="7E141746" w14:textId="77777777" w:rsidR="005D5828" w:rsidRDefault="001356A3" w:rsidP="00CF1C8B">
      <w:pPr>
        <w:pStyle w:val="2"/>
      </w:pPr>
      <w:bookmarkStart w:id="3" w:name="_Toc89784916"/>
      <w:r>
        <w:t xml:space="preserve">2.1 </w:t>
      </w:r>
      <w:r w:rsidR="00CF1C8B">
        <w:t>Стадии развития инновационных компаний. Описание источников данных и переменных</w:t>
      </w:r>
      <w:r w:rsidR="00622E19">
        <w:t>.</w:t>
      </w:r>
      <w:bookmarkEnd w:id="3"/>
    </w:p>
    <w:p w14:paraId="63CDC24D" w14:textId="77777777" w:rsidR="00135373" w:rsidRPr="00135373" w:rsidRDefault="00135373" w:rsidP="00135373"/>
    <w:p w14:paraId="67A3F723" w14:textId="77777777" w:rsidR="00832E47" w:rsidRDefault="003F4744" w:rsidP="00624C86">
      <w:pPr>
        <w:suppressAutoHyphens w:val="0"/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A024A3">
        <w:rPr>
          <w:rFonts w:ascii="Times New Roman" w:hAnsi="Times New Roman" w:cs="Times New Roman"/>
          <w:sz w:val="28"/>
        </w:rPr>
        <w:tab/>
      </w:r>
      <w:r w:rsidR="00DF3883">
        <w:rPr>
          <w:rFonts w:ascii="Times New Roman" w:hAnsi="Times New Roman" w:cs="Times New Roman"/>
          <w:sz w:val="28"/>
        </w:rPr>
        <w:t xml:space="preserve">Сторона объекта венчурного инвестирования представлена инновационными компаниями. В зависимости от стадии развития </w:t>
      </w:r>
      <w:r w:rsidR="005C099A">
        <w:rPr>
          <w:rFonts w:ascii="Times New Roman" w:hAnsi="Times New Roman" w:cs="Times New Roman"/>
          <w:sz w:val="28"/>
        </w:rPr>
        <w:t xml:space="preserve">они подразделяются на несколько групп. Существует множество классификаций, но вначале </w:t>
      </w:r>
      <w:r w:rsidR="005E03E3">
        <w:rPr>
          <w:rFonts w:ascii="Times New Roman" w:hAnsi="Times New Roman" w:cs="Times New Roman"/>
          <w:sz w:val="28"/>
        </w:rPr>
        <w:t xml:space="preserve">мы приведём </w:t>
      </w:r>
      <w:r w:rsidR="002B3667">
        <w:rPr>
          <w:rFonts w:ascii="Times New Roman" w:hAnsi="Times New Roman" w:cs="Times New Roman"/>
          <w:sz w:val="28"/>
        </w:rPr>
        <w:t>более</w:t>
      </w:r>
      <w:r w:rsidR="005E03E3">
        <w:rPr>
          <w:rFonts w:ascii="Times New Roman" w:hAnsi="Times New Roman" w:cs="Times New Roman"/>
          <w:sz w:val="28"/>
        </w:rPr>
        <w:t xml:space="preserve"> подробную из них (</w:t>
      </w:r>
      <w:r w:rsidR="001C50B3">
        <w:rPr>
          <w:rFonts w:ascii="Times New Roman" w:hAnsi="Times New Roman" w:cs="Times New Roman"/>
          <w:sz w:val="28"/>
        </w:rPr>
        <w:t>классификация Российской Ассоциации Венчурного Инвестирования и Российской венчурной компании</w:t>
      </w:r>
      <w:r w:rsidR="00D2304C">
        <w:rPr>
          <w:rFonts w:ascii="Times New Roman" w:hAnsi="Times New Roman" w:cs="Times New Roman"/>
          <w:sz w:val="28"/>
        </w:rPr>
        <w:t xml:space="preserve"> </w:t>
      </w:r>
      <w:r w:rsidR="00D2304C" w:rsidRPr="00D2304C">
        <w:rPr>
          <w:rFonts w:ascii="Times New Roman" w:hAnsi="Times New Roman" w:cs="Times New Roman"/>
          <w:sz w:val="28"/>
        </w:rPr>
        <w:t>[4</w:t>
      </w:r>
      <w:r w:rsidR="00D2304C" w:rsidRPr="00DB6988">
        <w:rPr>
          <w:rFonts w:ascii="Times New Roman" w:hAnsi="Times New Roman" w:cs="Times New Roman"/>
          <w:sz w:val="28"/>
        </w:rPr>
        <w:t>]</w:t>
      </w:r>
      <w:r w:rsidR="005E03E3">
        <w:rPr>
          <w:rFonts w:ascii="Times New Roman" w:hAnsi="Times New Roman" w:cs="Times New Roman"/>
          <w:sz w:val="28"/>
        </w:rPr>
        <w:t>)</w:t>
      </w:r>
      <w:r w:rsidR="00D2304C" w:rsidRPr="00DB6988">
        <w:rPr>
          <w:rFonts w:ascii="Times New Roman" w:hAnsi="Times New Roman" w:cs="Times New Roman"/>
          <w:sz w:val="28"/>
        </w:rPr>
        <w:t>.</w:t>
      </w:r>
    </w:p>
    <w:p w14:paraId="184CDA86" w14:textId="77777777" w:rsidR="002E6B1C" w:rsidRPr="002E6B1C" w:rsidRDefault="002E6B1C" w:rsidP="00624C86">
      <w:pPr>
        <w:suppressAutoHyphens w:val="0"/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Стадии развития инновационной компании:</w:t>
      </w:r>
    </w:p>
    <w:p w14:paraId="5768143B" w14:textId="77777777" w:rsidR="002B3667" w:rsidRDefault="006E6BF3" w:rsidP="00624C86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i/>
          <w:sz w:val="28"/>
          <w:szCs w:val="28"/>
        </w:rPr>
        <w:t>предпосевная стадия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pre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seed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stage</w:t>
      </w:r>
      <w:r>
        <w:rPr>
          <w:rFonts w:ascii="Times New Roman" w:hAnsi="Times New Roman"/>
          <w:sz w:val="28"/>
          <w:szCs w:val="28"/>
        </w:rPr>
        <w:t xml:space="preserve">). </w:t>
      </w:r>
      <w:r w:rsidR="002B3667">
        <w:rPr>
          <w:rFonts w:ascii="Times New Roman" w:hAnsi="Times New Roman"/>
          <w:sz w:val="28"/>
          <w:szCs w:val="28"/>
        </w:rPr>
        <w:t>Наиболее ранн</w:t>
      </w:r>
      <w:r>
        <w:rPr>
          <w:rFonts w:ascii="Times New Roman" w:hAnsi="Times New Roman"/>
          <w:sz w:val="28"/>
          <w:szCs w:val="28"/>
        </w:rPr>
        <w:t>яя</w:t>
      </w:r>
      <w:r w:rsidR="002B3667">
        <w:rPr>
          <w:rFonts w:ascii="Times New Roman" w:hAnsi="Times New Roman"/>
          <w:sz w:val="28"/>
          <w:szCs w:val="28"/>
        </w:rPr>
        <w:t xml:space="preserve"> стади</w:t>
      </w:r>
      <w:r>
        <w:rPr>
          <w:rFonts w:ascii="Times New Roman" w:hAnsi="Times New Roman"/>
          <w:sz w:val="28"/>
          <w:szCs w:val="28"/>
        </w:rPr>
        <w:t>я</w:t>
      </w:r>
      <w:r w:rsidR="002B3667">
        <w:rPr>
          <w:rFonts w:ascii="Times New Roman" w:hAnsi="Times New Roman"/>
          <w:sz w:val="28"/>
          <w:szCs w:val="28"/>
        </w:rPr>
        <w:t xml:space="preserve"> развития венчурного предприятия, во время которой у предпринимателя есть только идея, развитие которой на текущем этапе не требует значительных затрат и, как правило, финансируется грантами или автором проекта.</w:t>
      </w:r>
    </w:p>
    <w:p w14:paraId="4EDCF532" w14:textId="77777777" w:rsidR="002B3667" w:rsidRDefault="006E6BF3" w:rsidP="00624C86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2B3667">
        <w:rPr>
          <w:rFonts w:ascii="Times New Roman" w:hAnsi="Times New Roman"/>
          <w:i/>
          <w:sz w:val="28"/>
          <w:szCs w:val="28"/>
        </w:rPr>
        <w:t>посевн</w:t>
      </w:r>
      <w:r>
        <w:rPr>
          <w:rFonts w:ascii="Times New Roman" w:hAnsi="Times New Roman"/>
          <w:i/>
          <w:sz w:val="28"/>
          <w:szCs w:val="28"/>
        </w:rPr>
        <w:t>ая</w:t>
      </w:r>
      <w:r w:rsidR="002B3667">
        <w:rPr>
          <w:rFonts w:ascii="Times New Roman" w:hAnsi="Times New Roman"/>
          <w:i/>
          <w:sz w:val="28"/>
          <w:szCs w:val="28"/>
        </w:rPr>
        <w:t xml:space="preserve"> стади</w:t>
      </w:r>
      <w:r>
        <w:rPr>
          <w:rFonts w:ascii="Times New Roman" w:hAnsi="Times New Roman"/>
          <w:i/>
          <w:sz w:val="28"/>
          <w:szCs w:val="28"/>
        </w:rPr>
        <w:t>я</w:t>
      </w:r>
      <w:r w:rsidR="002B366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2B3667">
        <w:rPr>
          <w:rFonts w:ascii="Times New Roman" w:hAnsi="Times New Roman"/>
          <w:sz w:val="28"/>
          <w:szCs w:val="28"/>
        </w:rPr>
        <w:t>seed</w:t>
      </w:r>
      <w:proofErr w:type="spellEnd"/>
      <w:r w:rsidR="002B36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B3667">
        <w:rPr>
          <w:rFonts w:ascii="Times New Roman" w:hAnsi="Times New Roman"/>
          <w:sz w:val="28"/>
          <w:szCs w:val="28"/>
        </w:rPr>
        <w:t>stage</w:t>
      </w:r>
      <w:proofErr w:type="spellEnd"/>
      <w:r w:rsidR="002B366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2B36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="002B3667">
        <w:rPr>
          <w:rFonts w:ascii="Times New Roman" w:hAnsi="Times New Roman"/>
          <w:sz w:val="28"/>
          <w:szCs w:val="28"/>
        </w:rPr>
        <w:t>омпания находится в процессе формирования, имеется лишь идея или проект. Нередко на этой стадии проект получает финансирование именно от бизнес-ангелов, также распространено использование краудфандинга.</w:t>
      </w:r>
    </w:p>
    <w:p w14:paraId="0DB7703C" w14:textId="77777777" w:rsidR="002B3667" w:rsidRDefault="003363E6" w:rsidP="00624C86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F228D8">
        <w:rPr>
          <w:rFonts w:ascii="Times New Roman" w:hAnsi="Times New Roman"/>
          <w:i/>
          <w:sz w:val="28"/>
          <w:szCs w:val="28"/>
        </w:rPr>
        <w:t>стадия стартапа</w:t>
      </w:r>
      <w:r>
        <w:rPr>
          <w:rFonts w:ascii="Times New Roman" w:hAnsi="Times New Roman"/>
          <w:sz w:val="28"/>
          <w:szCs w:val="28"/>
        </w:rPr>
        <w:t>, или стадия запуска (</w:t>
      </w:r>
      <w:r>
        <w:rPr>
          <w:rFonts w:ascii="Times New Roman" w:hAnsi="Times New Roman"/>
          <w:sz w:val="28"/>
          <w:szCs w:val="28"/>
          <w:lang w:val="en-US"/>
        </w:rPr>
        <w:t>startup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stage</w:t>
      </w:r>
      <w:r>
        <w:rPr>
          <w:rFonts w:ascii="Times New Roman" w:hAnsi="Times New Roman"/>
          <w:sz w:val="28"/>
          <w:szCs w:val="28"/>
        </w:rPr>
        <w:t xml:space="preserve">). </w:t>
      </w:r>
      <w:r w:rsidR="00FB3C9D">
        <w:rPr>
          <w:rFonts w:ascii="Times New Roman" w:hAnsi="Times New Roman"/>
          <w:sz w:val="28"/>
          <w:szCs w:val="28"/>
        </w:rPr>
        <w:t>Молодая компания пытается</w:t>
      </w:r>
      <w:r w:rsidR="002B3667">
        <w:rPr>
          <w:rFonts w:ascii="Times New Roman" w:hAnsi="Times New Roman"/>
          <w:sz w:val="28"/>
          <w:szCs w:val="28"/>
        </w:rPr>
        <w:t xml:space="preserve"> организовать производство и выйти с продукцией (образцы уже разработаны) на рынок. Непосредственно стартапом является недавно созданная компания, находящаяся в процессе развития или исследования перспективных рынков.</w:t>
      </w:r>
    </w:p>
    <w:p w14:paraId="515964F2" w14:textId="77777777" w:rsidR="002B3667" w:rsidRDefault="00F228D8" w:rsidP="00624C86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2B3667">
        <w:rPr>
          <w:rFonts w:ascii="Times New Roman" w:hAnsi="Times New Roman"/>
          <w:sz w:val="28"/>
          <w:szCs w:val="28"/>
        </w:rPr>
        <w:t xml:space="preserve"> </w:t>
      </w:r>
      <w:r w:rsidR="002B3667">
        <w:rPr>
          <w:rFonts w:ascii="Times New Roman" w:hAnsi="Times New Roman"/>
          <w:i/>
          <w:sz w:val="28"/>
          <w:szCs w:val="28"/>
        </w:rPr>
        <w:t>стади</w:t>
      </w:r>
      <w:r>
        <w:rPr>
          <w:rFonts w:ascii="Times New Roman" w:hAnsi="Times New Roman"/>
          <w:i/>
          <w:sz w:val="28"/>
          <w:szCs w:val="28"/>
        </w:rPr>
        <w:t>я</w:t>
      </w:r>
      <w:r w:rsidR="002B3667">
        <w:rPr>
          <w:rFonts w:ascii="Times New Roman" w:hAnsi="Times New Roman"/>
          <w:i/>
          <w:sz w:val="28"/>
          <w:szCs w:val="28"/>
        </w:rPr>
        <w:t xml:space="preserve"> роста</w:t>
      </w:r>
      <w:r w:rsidR="002B3667">
        <w:rPr>
          <w:rFonts w:ascii="Times New Roman" w:hAnsi="Times New Roman"/>
          <w:sz w:val="28"/>
          <w:szCs w:val="28"/>
        </w:rPr>
        <w:t xml:space="preserve"> (</w:t>
      </w:r>
      <w:r w:rsidR="002B3667">
        <w:rPr>
          <w:rFonts w:ascii="Times New Roman" w:hAnsi="Times New Roman"/>
          <w:sz w:val="28"/>
          <w:szCs w:val="28"/>
          <w:lang w:val="en-US"/>
        </w:rPr>
        <w:t>growth</w:t>
      </w:r>
      <w:r w:rsidR="002B3667">
        <w:rPr>
          <w:rFonts w:ascii="Times New Roman" w:hAnsi="Times New Roman"/>
          <w:sz w:val="28"/>
          <w:szCs w:val="28"/>
        </w:rPr>
        <w:t xml:space="preserve"> </w:t>
      </w:r>
      <w:r w:rsidR="002B3667">
        <w:rPr>
          <w:rFonts w:ascii="Times New Roman" w:hAnsi="Times New Roman"/>
          <w:sz w:val="28"/>
          <w:szCs w:val="28"/>
          <w:lang w:val="en-US"/>
        </w:rPr>
        <w:t>stage</w:t>
      </w:r>
      <w:r w:rsidR="002B366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2B36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="002B3667">
        <w:rPr>
          <w:rFonts w:ascii="Times New Roman" w:hAnsi="Times New Roman"/>
          <w:sz w:val="28"/>
          <w:szCs w:val="28"/>
        </w:rPr>
        <w:t xml:space="preserve">омпания уже осуществляет выпуск и реализацию готовой продукции, ещё не имея устойчивой прибыли. В это время компания получает значительное финансирование на цели роста, этапы которого называются инвестиционными раундами (чаще всего имеют буквенные обозначения, например, раунд </w:t>
      </w:r>
      <w:r w:rsidR="002B3667">
        <w:rPr>
          <w:rFonts w:ascii="Times New Roman" w:hAnsi="Times New Roman"/>
          <w:sz w:val="28"/>
          <w:szCs w:val="28"/>
          <w:lang w:val="en-US"/>
        </w:rPr>
        <w:t>A</w:t>
      </w:r>
      <w:r w:rsidR="002B3667">
        <w:rPr>
          <w:rFonts w:ascii="Times New Roman" w:hAnsi="Times New Roman"/>
          <w:sz w:val="28"/>
          <w:szCs w:val="28"/>
        </w:rPr>
        <w:t xml:space="preserve">, </w:t>
      </w:r>
      <w:r w:rsidR="002B3667">
        <w:rPr>
          <w:rFonts w:ascii="Times New Roman" w:hAnsi="Times New Roman"/>
          <w:sz w:val="28"/>
          <w:szCs w:val="28"/>
          <w:lang w:val="en-US"/>
        </w:rPr>
        <w:t>B</w:t>
      </w:r>
      <w:r w:rsidR="002B3667">
        <w:rPr>
          <w:rFonts w:ascii="Times New Roman" w:hAnsi="Times New Roman"/>
          <w:sz w:val="28"/>
          <w:szCs w:val="28"/>
        </w:rPr>
        <w:t xml:space="preserve">, </w:t>
      </w:r>
      <w:r w:rsidR="002B3667">
        <w:rPr>
          <w:rFonts w:ascii="Times New Roman" w:hAnsi="Times New Roman"/>
          <w:sz w:val="28"/>
          <w:szCs w:val="28"/>
          <w:lang w:val="en-US"/>
        </w:rPr>
        <w:t>C</w:t>
      </w:r>
      <w:r w:rsidR="002B3667">
        <w:rPr>
          <w:rFonts w:ascii="Times New Roman" w:hAnsi="Times New Roman"/>
          <w:sz w:val="28"/>
          <w:szCs w:val="28"/>
        </w:rPr>
        <w:t xml:space="preserve"> и т.д.). Как правило, стадии роста соответствует раунд А.</w:t>
      </w:r>
    </w:p>
    <w:p w14:paraId="6D8265C3" w14:textId="77777777" w:rsidR="002B3667" w:rsidRDefault="00F228D8" w:rsidP="00624C86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i/>
          <w:sz w:val="28"/>
          <w:szCs w:val="28"/>
        </w:rPr>
        <w:t>стадия расширения</w:t>
      </w:r>
      <w:r w:rsidR="00626E3E" w:rsidRPr="000B5256">
        <w:rPr>
          <w:rFonts w:ascii="Times New Roman" w:hAnsi="Times New Roman"/>
          <w:i/>
          <w:sz w:val="28"/>
          <w:szCs w:val="28"/>
        </w:rPr>
        <w:t xml:space="preserve"> </w:t>
      </w:r>
      <w:r w:rsidR="00626E3E" w:rsidRPr="000B5256">
        <w:rPr>
          <w:rFonts w:ascii="Times New Roman" w:hAnsi="Times New Roman"/>
          <w:sz w:val="28"/>
          <w:szCs w:val="28"/>
        </w:rPr>
        <w:t>(</w:t>
      </w:r>
      <w:r w:rsidR="00626E3E" w:rsidRPr="00626E3E">
        <w:rPr>
          <w:rFonts w:ascii="Times New Roman" w:hAnsi="Times New Roman"/>
          <w:sz w:val="28"/>
          <w:szCs w:val="28"/>
          <w:lang w:val="en-US"/>
        </w:rPr>
        <w:t>expansion</w:t>
      </w:r>
      <w:r w:rsidR="00626E3E" w:rsidRPr="000B5256">
        <w:rPr>
          <w:rFonts w:ascii="Times New Roman" w:hAnsi="Times New Roman"/>
          <w:sz w:val="28"/>
          <w:szCs w:val="28"/>
        </w:rPr>
        <w:t xml:space="preserve"> </w:t>
      </w:r>
      <w:r w:rsidR="00626E3E" w:rsidRPr="00626E3E">
        <w:rPr>
          <w:rFonts w:ascii="Times New Roman" w:hAnsi="Times New Roman"/>
          <w:sz w:val="28"/>
          <w:szCs w:val="28"/>
          <w:lang w:val="en-US"/>
        </w:rPr>
        <w:t>stage</w:t>
      </w:r>
      <w:r w:rsidR="00626E3E" w:rsidRPr="000B525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0B5256">
        <w:rPr>
          <w:rFonts w:ascii="Times New Roman" w:hAnsi="Times New Roman"/>
          <w:sz w:val="28"/>
          <w:szCs w:val="28"/>
        </w:rPr>
        <w:t>Компания занимает определённые позиции на рынке, стремится увеличить продажи и становится прибыльной</w:t>
      </w:r>
      <w:r w:rsidR="00D145C5">
        <w:rPr>
          <w:rFonts w:ascii="Times New Roman" w:hAnsi="Times New Roman"/>
          <w:sz w:val="28"/>
          <w:szCs w:val="28"/>
        </w:rPr>
        <w:t>.</w:t>
      </w:r>
      <w:r w:rsidR="000B5256">
        <w:rPr>
          <w:rFonts w:ascii="Times New Roman" w:hAnsi="Times New Roman"/>
          <w:sz w:val="28"/>
          <w:szCs w:val="28"/>
        </w:rPr>
        <w:t xml:space="preserve"> </w:t>
      </w:r>
      <w:r w:rsidR="002B3667">
        <w:rPr>
          <w:rFonts w:ascii="Times New Roman" w:hAnsi="Times New Roman"/>
          <w:sz w:val="28"/>
          <w:szCs w:val="28"/>
        </w:rPr>
        <w:t>Раунды</w:t>
      </w:r>
      <w:r w:rsidR="00D145C5">
        <w:rPr>
          <w:rFonts w:ascii="Times New Roman" w:hAnsi="Times New Roman"/>
          <w:sz w:val="28"/>
          <w:szCs w:val="28"/>
        </w:rPr>
        <w:t xml:space="preserve"> инвестирования</w:t>
      </w:r>
      <w:r w:rsidR="002B3667">
        <w:rPr>
          <w:rFonts w:ascii="Times New Roman" w:hAnsi="Times New Roman"/>
          <w:sz w:val="28"/>
          <w:szCs w:val="28"/>
        </w:rPr>
        <w:t xml:space="preserve"> </w:t>
      </w:r>
      <w:r w:rsidR="002B3667">
        <w:rPr>
          <w:rFonts w:ascii="Times New Roman" w:hAnsi="Times New Roman"/>
          <w:sz w:val="28"/>
          <w:szCs w:val="28"/>
          <w:lang w:val="en-US"/>
        </w:rPr>
        <w:t>B</w:t>
      </w:r>
      <w:r w:rsidR="002B3667">
        <w:rPr>
          <w:rFonts w:ascii="Times New Roman" w:hAnsi="Times New Roman"/>
          <w:sz w:val="28"/>
          <w:szCs w:val="28"/>
        </w:rPr>
        <w:t xml:space="preserve">, </w:t>
      </w:r>
      <w:r w:rsidR="002B3667">
        <w:rPr>
          <w:rFonts w:ascii="Times New Roman" w:hAnsi="Times New Roman"/>
          <w:sz w:val="28"/>
          <w:szCs w:val="28"/>
          <w:lang w:val="en-US"/>
        </w:rPr>
        <w:t>C</w:t>
      </w:r>
      <w:r w:rsidR="002B3667">
        <w:rPr>
          <w:rFonts w:ascii="Times New Roman" w:hAnsi="Times New Roman"/>
          <w:sz w:val="28"/>
          <w:szCs w:val="28"/>
        </w:rPr>
        <w:t xml:space="preserve"> и т.д. обычно происходят на </w:t>
      </w:r>
      <w:r w:rsidR="00D145C5">
        <w:rPr>
          <w:rFonts w:ascii="Times New Roman" w:hAnsi="Times New Roman"/>
          <w:sz w:val="28"/>
          <w:szCs w:val="28"/>
        </w:rPr>
        <w:t>этой стадии.</w:t>
      </w:r>
      <w:r w:rsidR="002B3667">
        <w:rPr>
          <w:rFonts w:ascii="Times New Roman" w:hAnsi="Times New Roman"/>
          <w:sz w:val="28"/>
          <w:szCs w:val="28"/>
        </w:rPr>
        <w:t xml:space="preserve"> </w:t>
      </w:r>
    </w:p>
    <w:p w14:paraId="3E86DF7A" w14:textId="77777777" w:rsidR="002B3667" w:rsidRDefault="00D145C5" w:rsidP="00624C86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145C5">
        <w:rPr>
          <w:rFonts w:ascii="Times New Roman" w:hAnsi="Times New Roman"/>
          <w:i/>
          <w:sz w:val="28"/>
          <w:szCs w:val="28"/>
        </w:rPr>
        <w:t xml:space="preserve">- 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proofErr w:type="spellStart"/>
      <w:r w:rsidR="002B3667">
        <w:rPr>
          <w:rFonts w:ascii="Times New Roman" w:hAnsi="Times New Roman"/>
          <w:i/>
          <w:sz w:val="28"/>
          <w:szCs w:val="28"/>
        </w:rPr>
        <w:t>тади</w:t>
      </w:r>
      <w:r>
        <w:rPr>
          <w:rFonts w:ascii="Times New Roman" w:hAnsi="Times New Roman"/>
          <w:i/>
          <w:sz w:val="28"/>
          <w:szCs w:val="28"/>
        </w:rPr>
        <w:t>я</w:t>
      </w:r>
      <w:proofErr w:type="spellEnd"/>
      <w:r w:rsidR="002B3667">
        <w:rPr>
          <w:rFonts w:ascii="Times New Roman" w:hAnsi="Times New Roman"/>
          <w:i/>
          <w:sz w:val="28"/>
          <w:szCs w:val="28"/>
        </w:rPr>
        <w:t xml:space="preserve"> выхода</w:t>
      </w:r>
      <w:r w:rsidR="002B3667">
        <w:rPr>
          <w:rFonts w:ascii="Times New Roman" w:hAnsi="Times New Roman"/>
          <w:sz w:val="28"/>
          <w:szCs w:val="28"/>
        </w:rPr>
        <w:t xml:space="preserve"> (</w:t>
      </w:r>
      <w:r w:rsidR="002B3667">
        <w:rPr>
          <w:rFonts w:ascii="Times New Roman" w:hAnsi="Times New Roman"/>
          <w:sz w:val="28"/>
          <w:szCs w:val="28"/>
          <w:lang w:val="en-US"/>
        </w:rPr>
        <w:t>exit</w:t>
      </w:r>
      <w:r w:rsidR="002B3667">
        <w:rPr>
          <w:rFonts w:ascii="Times New Roman" w:hAnsi="Times New Roman"/>
          <w:sz w:val="28"/>
          <w:szCs w:val="28"/>
        </w:rPr>
        <w:t xml:space="preserve"> </w:t>
      </w:r>
      <w:r w:rsidR="002B3667">
        <w:rPr>
          <w:rFonts w:ascii="Times New Roman" w:hAnsi="Times New Roman"/>
          <w:sz w:val="28"/>
          <w:szCs w:val="28"/>
          <w:lang w:val="en-US"/>
        </w:rPr>
        <w:t>stage</w:t>
      </w:r>
      <w:r w:rsidR="002B3667">
        <w:rPr>
          <w:rFonts w:ascii="Times New Roman" w:hAnsi="Times New Roman"/>
          <w:sz w:val="28"/>
          <w:szCs w:val="28"/>
        </w:rPr>
        <w:t xml:space="preserve">), или </w:t>
      </w:r>
      <w:proofErr w:type="spellStart"/>
      <w:r w:rsidR="002B3667">
        <w:rPr>
          <w:rFonts w:ascii="Times New Roman" w:hAnsi="Times New Roman"/>
          <w:sz w:val="28"/>
          <w:szCs w:val="28"/>
        </w:rPr>
        <w:t>экзитом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2B36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="002B3667">
        <w:rPr>
          <w:rFonts w:ascii="Times New Roman" w:hAnsi="Times New Roman"/>
          <w:sz w:val="28"/>
          <w:szCs w:val="28"/>
        </w:rPr>
        <w:t>енчурное финансирование компании</w:t>
      </w:r>
      <w:r>
        <w:rPr>
          <w:rFonts w:ascii="Times New Roman" w:hAnsi="Times New Roman"/>
          <w:sz w:val="28"/>
          <w:szCs w:val="28"/>
        </w:rPr>
        <w:t xml:space="preserve"> завершается</w:t>
      </w:r>
      <w:r w:rsidR="002B3667">
        <w:rPr>
          <w:rFonts w:ascii="Times New Roman" w:hAnsi="Times New Roman"/>
          <w:sz w:val="28"/>
          <w:szCs w:val="28"/>
        </w:rPr>
        <w:t xml:space="preserve">. Она становится публичной, осуществляет первичное </w:t>
      </w:r>
      <w:r w:rsidR="002B3667">
        <w:rPr>
          <w:rFonts w:ascii="Times New Roman" w:hAnsi="Times New Roman"/>
          <w:sz w:val="28"/>
          <w:szCs w:val="28"/>
        </w:rPr>
        <w:lastRenderedPageBreak/>
        <w:t>размещение на фондовом рынке (</w:t>
      </w:r>
      <w:r w:rsidR="002B3667">
        <w:rPr>
          <w:rFonts w:ascii="Times New Roman" w:hAnsi="Times New Roman"/>
          <w:sz w:val="28"/>
          <w:szCs w:val="28"/>
          <w:lang w:val="en-US"/>
        </w:rPr>
        <w:t>IPO</w:t>
      </w:r>
      <w:r w:rsidR="002B3667">
        <w:rPr>
          <w:rFonts w:ascii="Times New Roman" w:hAnsi="Times New Roman"/>
          <w:sz w:val="28"/>
          <w:szCs w:val="28"/>
        </w:rPr>
        <w:t xml:space="preserve">) или поглощается другой компанией. Венчурный инвестор продаёт свою долю. </w:t>
      </w:r>
    </w:p>
    <w:p w14:paraId="57382C0D" w14:textId="3DCC02EE" w:rsidR="002B3667" w:rsidRPr="00966720" w:rsidRDefault="002B3667" w:rsidP="00624C86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отчётах консалтинговых компаний, национальных ассоциаций венчурного капитала</w:t>
      </w:r>
      <w:r w:rsidR="00365E86">
        <w:rPr>
          <w:rFonts w:ascii="Times New Roman" w:hAnsi="Times New Roman"/>
          <w:sz w:val="28"/>
          <w:szCs w:val="28"/>
        </w:rPr>
        <w:t xml:space="preserve"> и данных ОЭСР, используемых в этом исследовании,</w:t>
      </w:r>
      <w:r>
        <w:rPr>
          <w:rFonts w:ascii="Times New Roman" w:hAnsi="Times New Roman"/>
          <w:sz w:val="28"/>
          <w:szCs w:val="28"/>
        </w:rPr>
        <w:t xml:space="preserve"> фигурирует более крупное разделение компаний по стадиям развития: </w:t>
      </w:r>
      <w:r w:rsidRPr="00A14D0D">
        <w:rPr>
          <w:rFonts w:ascii="Times New Roman" w:hAnsi="Times New Roman"/>
          <w:i/>
          <w:sz w:val="28"/>
          <w:szCs w:val="28"/>
          <w:u w:val="single"/>
        </w:rPr>
        <w:t>посевная, стадия стартапа и поздняя</w:t>
      </w:r>
      <w:r>
        <w:rPr>
          <w:rFonts w:ascii="Times New Roman" w:hAnsi="Times New Roman"/>
          <w:sz w:val="28"/>
          <w:szCs w:val="28"/>
        </w:rPr>
        <w:t>.</w:t>
      </w:r>
    </w:p>
    <w:p w14:paraId="20FEDBAC" w14:textId="77777777" w:rsidR="00CB1357" w:rsidRDefault="00832E47" w:rsidP="00624C86">
      <w:pPr>
        <w:suppressAutoHyphens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проведения исследования были выбраны данные по</w:t>
      </w:r>
      <w:r w:rsidR="005C099A">
        <w:rPr>
          <w:rFonts w:ascii="Times New Roman" w:hAnsi="Times New Roman" w:cs="Times New Roman"/>
          <w:sz w:val="28"/>
        </w:rPr>
        <w:t xml:space="preserve"> общему годовому объёму</w:t>
      </w:r>
      <w:r>
        <w:rPr>
          <w:rFonts w:ascii="Times New Roman" w:hAnsi="Times New Roman" w:cs="Times New Roman"/>
          <w:sz w:val="28"/>
        </w:rPr>
        <w:t xml:space="preserve"> венчурны</w:t>
      </w:r>
      <w:r w:rsidR="005C099A">
        <w:rPr>
          <w:rFonts w:ascii="Times New Roman" w:hAnsi="Times New Roman" w:cs="Times New Roman"/>
          <w:sz w:val="28"/>
        </w:rPr>
        <w:t>х инвестиций</w:t>
      </w:r>
      <w:r w:rsidR="001B59B4" w:rsidRPr="001B59B4">
        <w:rPr>
          <w:rFonts w:ascii="Times New Roman" w:hAnsi="Times New Roman" w:cs="Times New Roman"/>
          <w:sz w:val="28"/>
        </w:rPr>
        <w:t xml:space="preserve"> (</w:t>
      </w:r>
      <w:r w:rsidR="001B59B4">
        <w:rPr>
          <w:rFonts w:ascii="Times New Roman" w:hAnsi="Times New Roman" w:cs="Times New Roman"/>
          <w:sz w:val="28"/>
        </w:rPr>
        <w:t>в мл</w:t>
      </w:r>
      <w:r w:rsidR="00450052">
        <w:rPr>
          <w:rFonts w:ascii="Times New Roman" w:hAnsi="Times New Roman" w:cs="Times New Roman"/>
          <w:sz w:val="28"/>
        </w:rPr>
        <w:t>н</w:t>
      </w:r>
      <w:r w:rsidR="001B59B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B59B4">
        <w:rPr>
          <w:rFonts w:ascii="Times New Roman" w:hAnsi="Times New Roman" w:cs="Times New Roman"/>
          <w:sz w:val="28"/>
        </w:rPr>
        <w:t>долл</w:t>
      </w:r>
      <w:proofErr w:type="spellEnd"/>
      <w:r w:rsidR="001B59B4">
        <w:rPr>
          <w:rFonts w:ascii="Times New Roman" w:hAnsi="Times New Roman" w:cs="Times New Roman"/>
          <w:sz w:val="28"/>
        </w:rPr>
        <w:t>) в странах Северной Европы</w:t>
      </w:r>
      <w:r w:rsidR="00D551A4">
        <w:rPr>
          <w:rFonts w:ascii="Times New Roman" w:hAnsi="Times New Roman" w:cs="Times New Roman"/>
          <w:sz w:val="28"/>
        </w:rPr>
        <w:t xml:space="preserve"> (Норвегия, Швеция, Дания, Финляндия)</w:t>
      </w:r>
      <w:r w:rsidR="000C0136">
        <w:rPr>
          <w:rFonts w:ascii="Times New Roman" w:hAnsi="Times New Roman" w:cs="Times New Roman"/>
          <w:sz w:val="28"/>
        </w:rPr>
        <w:t xml:space="preserve"> в период с 2007 по 2020 год</w:t>
      </w:r>
      <w:r w:rsidR="001B59B4">
        <w:rPr>
          <w:rFonts w:ascii="Times New Roman" w:hAnsi="Times New Roman" w:cs="Times New Roman"/>
          <w:sz w:val="28"/>
        </w:rPr>
        <w:t xml:space="preserve"> (данные ОЭСР)</w:t>
      </w:r>
      <w:r w:rsidR="005E03E3" w:rsidRPr="005E03E3">
        <w:rPr>
          <w:rFonts w:ascii="Times New Roman" w:hAnsi="Times New Roman" w:cs="Times New Roman"/>
          <w:sz w:val="28"/>
        </w:rPr>
        <w:t xml:space="preserve"> [5]</w:t>
      </w:r>
      <w:r w:rsidR="00966720">
        <w:rPr>
          <w:rFonts w:ascii="Times New Roman" w:hAnsi="Times New Roman" w:cs="Times New Roman"/>
          <w:sz w:val="28"/>
        </w:rPr>
        <w:t>.</w:t>
      </w:r>
      <w:r w:rsidR="006126DA" w:rsidRPr="006126DA">
        <w:rPr>
          <w:rFonts w:ascii="Times New Roman" w:hAnsi="Times New Roman" w:cs="Times New Roman"/>
          <w:sz w:val="28"/>
        </w:rPr>
        <w:t xml:space="preserve"> </w:t>
      </w:r>
      <w:proofErr w:type="gramStart"/>
      <w:r w:rsidR="006126DA">
        <w:rPr>
          <w:rFonts w:ascii="Times New Roman" w:hAnsi="Times New Roman" w:cs="Times New Roman"/>
          <w:sz w:val="28"/>
        </w:rPr>
        <w:t>Помимо этого</w:t>
      </w:r>
      <w:proofErr w:type="gramEnd"/>
      <w:r w:rsidR="006126DA">
        <w:rPr>
          <w:rFonts w:ascii="Times New Roman" w:hAnsi="Times New Roman" w:cs="Times New Roman"/>
          <w:sz w:val="28"/>
        </w:rPr>
        <w:t xml:space="preserve"> из того же источника данных была взята информация об объёмах венчурных инвестиций на посевной стадии, стадии стартапа и</w:t>
      </w:r>
      <w:r w:rsidR="00765FB9">
        <w:rPr>
          <w:rFonts w:ascii="Times New Roman" w:hAnsi="Times New Roman" w:cs="Times New Roman"/>
          <w:sz w:val="28"/>
        </w:rPr>
        <w:t xml:space="preserve"> поздней стадии.</w:t>
      </w:r>
      <w:r w:rsidR="00D551A4">
        <w:rPr>
          <w:rFonts w:ascii="Times New Roman" w:hAnsi="Times New Roman" w:cs="Times New Roman"/>
          <w:sz w:val="28"/>
        </w:rPr>
        <w:t xml:space="preserve"> Также были взяты показатели ВВП по паритету покупательной способности (в ценах 2017 года</w:t>
      </w:r>
      <w:r w:rsidR="00DD6A90" w:rsidRPr="00DD6A90">
        <w:rPr>
          <w:rFonts w:ascii="Times New Roman" w:hAnsi="Times New Roman" w:cs="Times New Roman"/>
          <w:sz w:val="28"/>
        </w:rPr>
        <w:t xml:space="preserve">, </w:t>
      </w:r>
      <w:r w:rsidR="00DD6A90">
        <w:rPr>
          <w:rFonts w:ascii="Times New Roman" w:hAnsi="Times New Roman" w:cs="Times New Roman"/>
          <w:sz w:val="28"/>
        </w:rPr>
        <w:t>данные Всемирного Банка</w:t>
      </w:r>
      <w:r w:rsidR="007553A7" w:rsidRPr="007553A7">
        <w:rPr>
          <w:rFonts w:ascii="Times New Roman" w:hAnsi="Times New Roman" w:cs="Times New Roman"/>
          <w:sz w:val="28"/>
        </w:rPr>
        <w:t xml:space="preserve"> (</w:t>
      </w:r>
      <w:r w:rsidR="007553A7">
        <w:rPr>
          <w:rFonts w:ascii="Times New Roman" w:hAnsi="Times New Roman" w:cs="Times New Roman"/>
          <w:sz w:val="28"/>
        </w:rPr>
        <w:t>ВБ</w:t>
      </w:r>
      <w:r w:rsidR="007553A7" w:rsidRPr="007553A7">
        <w:rPr>
          <w:rFonts w:ascii="Times New Roman" w:hAnsi="Times New Roman" w:cs="Times New Roman"/>
          <w:sz w:val="28"/>
        </w:rPr>
        <w:t>)</w:t>
      </w:r>
      <w:r w:rsidR="00D551A4">
        <w:rPr>
          <w:rFonts w:ascii="Times New Roman" w:hAnsi="Times New Roman" w:cs="Times New Roman"/>
          <w:sz w:val="28"/>
        </w:rPr>
        <w:t>) за тот же период, значения экономического роста</w:t>
      </w:r>
      <w:r w:rsidR="00707391">
        <w:rPr>
          <w:rFonts w:ascii="Times New Roman" w:hAnsi="Times New Roman" w:cs="Times New Roman"/>
          <w:sz w:val="28"/>
        </w:rPr>
        <w:t xml:space="preserve"> в процентах</w:t>
      </w:r>
      <w:r w:rsidR="007553A7">
        <w:rPr>
          <w:rFonts w:ascii="Times New Roman" w:hAnsi="Times New Roman" w:cs="Times New Roman"/>
          <w:sz w:val="28"/>
        </w:rPr>
        <w:t xml:space="preserve"> (данные ВБ)</w:t>
      </w:r>
      <w:r w:rsidR="00707391">
        <w:rPr>
          <w:rFonts w:ascii="Times New Roman" w:hAnsi="Times New Roman" w:cs="Times New Roman"/>
          <w:sz w:val="28"/>
        </w:rPr>
        <w:t>,</w:t>
      </w:r>
      <w:r w:rsidR="00140972">
        <w:rPr>
          <w:rFonts w:ascii="Times New Roman" w:hAnsi="Times New Roman" w:cs="Times New Roman"/>
          <w:sz w:val="28"/>
        </w:rPr>
        <w:t xml:space="preserve"> расходов на </w:t>
      </w:r>
      <w:r w:rsidR="00140972">
        <w:rPr>
          <w:rFonts w:ascii="Times New Roman" w:hAnsi="Times New Roman" w:cs="Times New Roman"/>
          <w:sz w:val="28"/>
          <w:lang w:val="en-US"/>
        </w:rPr>
        <w:t>R</w:t>
      </w:r>
      <w:r w:rsidR="00140972" w:rsidRPr="00140972">
        <w:rPr>
          <w:rFonts w:ascii="Times New Roman" w:hAnsi="Times New Roman" w:cs="Times New Roman"/>
          <w:sz w:val="28"/>
        </w:rPr>
        <w:t>&amp;</w:t>
      </w:r>
      <w:r w:rsidR="00140972">
        <w:rPr>
          <w:rFonts w:ascii="Times New Roman" w:hAnsi="Times New Roman" w:cs="Times New Roman"/>
          <w:sz w:val="28"/>
          <w:lang w:val="en-US"/>
        </w:rPr>
        <w:t>D</w:t>
      </w:r>
      <w:r w:rsidR="00140972">
        <w:rPr>
          <w:rFonts w:ascii="Times New Roman" w:hAnsi="Times New Roman" w:cs="Times New Roman"/>
          <w:sz w:val="28"/>
        </w:rPr>
        <w:t xml:space="preserve"> (</w:t>
      </w:r>
      <w:r w:rsidR="00140972">
        <w:rPr>
          <w:rFonts w:ascii="Times New Roman" w:hAnsi="Times New Roman" w:cs="Times New Roman"/>
          <w:sz w:val="28"/>
          <w:lang w:val="en-US"/>
        </w:rPr>
        <w:t>Research</w:t>
      </w:r>
      <w:r w:rsidR="00140972" w:rsidRPr="00140972">
        <w:rPr>
          <w:rFonts w:ascii="Times New Roman" w:hAnsi="Times New Roman" w:cs="Times New Roman"/>
          <w:sz w:val="28"/>
        </w:rPr>
        <w:t xml:space="preserve"> &amp; </w:t>
      </w:r>
      <w:r w:rsidR="00140972">
        <w:rPr>
          <w:rFonts w:ascii="Times New Roman" w:hAnsi="Times New Roman" w:cs="Times New Roman"/>
          <w:sz w:val="28"/>
          <w:lang w:val="en-US"/>
        </w:rPr>
        <w:t>Development</w:t>
      </w:r>
      <w:r w:rsidR="00140972" w:rsidRPr="00140972">
        <w:rPr>
          <w:rFonts w:ascii="Times New Roman" w:hAnsi="Times New Roman" w:cs="Times New Roman"/>
          <w:sz w:val="28"/>
        </w:rPr>
        <w:t xml:space="preserve">, </w:t>
      </w:r>
      <w:r w:rsidR="00140972">
        <w:rPr>
          <w:rFonts w:ascii="Times New Roman" w:hAnsi="Times New Roman" w:cs="Times New Roman"/>
          <w:sz w:val="28"/>
        </w:rPr>
        <w:t>НИОКР) в процентах от ВВП</w:t>
      </w:r>
      <w:r w:rsidR="007553A7">
        <w:rPr>
          <w:rFonts w:ascii="Times New Roman" w:hAnsi="Times New Roman" w:cs="Times New Roman"/>
          <w:sz w:val="28"/>
        </w:rPr>
        <w:t xml:space="preserve"> (данные ВБ)</w:t>
      </w:r>
      <w:r w:rsidR="00140972">
        <w:rPr>
          <w:rFonts w:ascii="Times New Roman" w:hAnsi="Times New Roman" w:cs="Times New Roman"/>
          <w:sz w:val="28"/>
        </w:rPr>
        <w:t>.</w:t>
      </w:r>
      <w:r w:rsidR="007553A7">
        <w:rPr>
          <w:rFonts w:ascii="Times New Roman" w:hAnsi="Times New Roman" w:cs="Times New Roman"/>
          <w:sz w:val="28"/>
        </w:rPr>
        <w:t xml:space="preserve"> Ниже приведены все используемые переменные (файл </w:t>
      </w:r>
      <w:r w:rsidR="007553A7" w:rsidRPr="007553A7">
        <w:rPr>
          <w:rFonts w:ascii="Times New Roman" w:hAnsi="Times New Roman" w:cs="Times New Roman"/>
          <w:sz w:val="28"/>
        </w:rPr>
        <w:t>“</w:t>
      </w:r>
      <w:proofErr w:type="spellStart"/>
      <w:r w:rsidR="007553A7">
        <w:rPr>
          <w:rFonts w:ascii="Times New Roman" w:hAnsi="Times New Roman" w:cs="Times New Roman"/>
          <w:sz w:val="28"/>
          <w:lang w:val="en-US"/>
        </w:rPr>
        <w:t>Venchurnye</w:t>
      </w:r>
      <w:proofErr w:type="spellEnd"/>
      <w:r w:rsidR="007553A7" w:rsidRPr="007553A7">
        <w:rPr>
          <w:rFonts w:ascii="Times New Roman" w:hAnsi="Times New Roman" w:cs="Times New Roman"/>
          <w:sz w:val="28"/>
        </w:rPr>
        <w:t>_</w:t>
      </w:r>
      <w:proofErr w:type="spellStart"/>
      <w:r w:rsidR="007553A7">
        <w:rPr>
          <w:rFonts w:ascii="Times New Roman" w:hAnsi="Times New Roman" w:cs="Times New Roman"/>
          <w:sz w:val="28"/>
          <w:lang w:val="en-US"/>
        </w:rPr>
        <w:t>investitsii</w:t>
      </w:r>
      <w:proofErr w:type="spellEnd"/>
      <w:r w:rsidR="007553A7" w:rsidRPr="007553A7">
        <w:rPr>
          <w:rFonts w:ascii="Times New Roman" w:hAnsi="Times New Roman" w:cs="Times New Roman"/>
          <w:sz w:val="28"/>
        </w:rPr>
        <w:t>_</w:t>
      </w:r>
      <w:r w:rsidR="007553A7">
        <w:rPr>
          <w:rFonts w:ascii="Times New Roman" w:hAnsi="Times New Roman" w:cs="Times New Roman"/>
          <w:sz w:val="28"/>
          <w:lang w:val="en-US"/>
        </w:rPr>
        <w:t>Baryshnikov</w:t>
      </w:r>
      <w:r w:rsidR="007553A7" w:rsidRPr="007553A7">
        <w:rPr>
          <w:rFonts w:ascii="Times New Roman" w:hAnsi="Times New Roman" w:cs="Times New Roman"/>
          <w:sz w:val="28"/>
        </w:rPr>
        <w:t>.</w:t>
      </w:r>
      <w:r w:rsidR="007553A7">
        <w:rPr>
          <w:rFonts w:ascii="Times New Roman" w:hAnsi="Times New Roman" w:cs="Times New Roman"/>
          <w:sz w:val="28"/>
          <w:lang w:val="en-US"/>
        </w:rPr>
        <w:t>sav</w:t>
      </w:r>
      <w:r w:rsidR="007553A7" w:rsidRPr="007553A7">
        <w:rPr>
          <w:rFonts w:ascii="Times New Roman" w:hAnsi="Times New Roman" w:cs="Times New Roman"/>
          <w:sz w:val="28"/>
        </w:rPr>
        <w:t>”</w:t>
      </w:r>
      <w:r w:rsidR="007553A7">
        <w:rPr>
          <w:rFonts w:ascii="Times New Roman" w:hAnsi="Times New Roman" w:cs="Times New Roman"/>
          <w:sz w:val="28"/>
        </w:rPr>
        <w:t>)</w:t>
      </w:r>
      <w:r w:rsidR="00450052" w:rsidRPr="00450052">
        <w:rPr>
          <w:rFonts w:ascii="Times New Roman" w:hAnsi="Times New Roman" w:cs="Times New Roman"/>
          <w:sz w:val="28"/>
        </w:rPr>
        <w:t>:</w:t>
      </w:r>
    </w:p>
    <w:p w14:paraId="6C3E0D01" w14:textId="77777777" w:rsidR="00450052" w:rsidRDefault="00450052" w:rsidP="00624C86">
      <w:pPr>
        <w:suppressAutoHyphens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в_1 – страна.</w:t>
      </w:r>
    </w:p>
    <w:p w14:paraId="2385D00F" w14:textId="77777777" w:rsidR="00450052" w:rsidRDefault="00450052" w:rsidP="00624C86">
      <w:pPr>
        <w:suppressAutoHyphens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в_2 – год.</w:t>
      </w:r>
    </w:p>
    <w:p w14:paraId="5F8B8A1E" w14:textId="77777777" w:rsidR="00450052" w:rsidRPr="00450052" w:rsidRDefault="00450052" w:rsidP="00624C86">
      <w:pPr>
        <w:suppressAutoHyphens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в_3 – объём посевных инвестиций, млн долл.</w:t>
      </w:r>
    </w:p>
    <w:p w14:paraId="073E835C" w14:textId="77777777" w:rsidR="00CB1357" w:rsidRDefault="00A26DCC" w:rsidP="00624C86">
      <w:pPr>
        <w:suppressAutoHyphens w:val="0"/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450052">
        <w:rPr>
          <w:rFonts w:ascii="Times New Roman" w:hAnsi="Times New Roman" w:cs="Times New Roman"/>
          <w:sz w:val="28"/>
        </w:rPr>
        <w:t>в_4 - о</w:t>
      </w:r>
      <w:r w:rsidR="00450052" w:rsidRPr="00450052">
        <w:rPr>
          <w:rFonts w:ascii="Times New Roman" w:hAnsi="Times New Roman" w:cs="Times New Roman"/>
          <w:sz w:val="28"/>
        </w:rPr>
        <w:t>бъём венчурных инвестиций на стадии старт-</w:t>
      </w:r>
      <w:proofErr w:type="spellStart"/>
      <w:r w:rsidR="00450052" w:rsidRPr="00450052">
        <w:rPr>
          <w:rFonts w:ascii="Times New Roman" w:hAnsi="Times New Roman" w:cs="Times New Roman"/>
          <w:sz w:val="28"/>
        </w:rPr>
        <w:t>апа</w:t>
      </w:r>
      <w:proofErr w:type="spellEnd"/>
      <w:r w:rsidR="00450052" w:rsidRPr="00450052">
        <w:rPr>
          <w:rFonts w:ascii="Times New Roman" w:hAnsi="Times New Roman" w:cs="Times New Roman"/>
          <w:sz w:val="28"/>
        </w:rPr>
        <w:t xml:space="preserve"> и других ранних стадиях, млн долл.</w:t>
      </w:r>
    </w:p>
    <w:p w14:paraId="04420777" w14:textId="77777777" w:rsidR="009B4CA1" w:rsidRDefault="009B4CA1" w:rsidP="00624C86">
      <w:pPr>
        <w:suppressAutoHyphens w:val="0"/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в_5 – объём венчурных инвестиций на поздней стадии, млн долл.</w:t>
      </w:r>
    </w:p>
    <w:p w14:paraId="742505B1" w14:textId="77777777" w:rsidR="009B4CA1" w:rsidRDefault="009B4CA1" w:rsidP="00624C86">
      <w:pPr>
        <w:suppressAutoHyphens w:val="0"/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в_6 – суммарный объём венчурных инвестиций, млн долл.</w:t>
      </w:r>
    </w:p>
    <w:p w14:paraId="4B58509C" w14:textId="77777777" w:rsidR="009B4CA1" w:rsidRDefault="009B4CA1" w:rsidP="00624C86">
      <w:pPr>
        <w:suppressAutoHyphens w:val="0"/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в_7 </w:t>
      </w:r>
      <w:r w:rsidR="00F635F6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F635F6">
        <w:rPr>
          <w:rFonts w:ascii="Times New Roman" w:hAnsi="Times New Roman" w:cs="Times New Roman"/>
          <w:sz w:val="28"/>
        </w:rPr>
        <w:t>инвестиции в стартапы по категориям.</w:t>
      </w:r>
    </w:p>
    <w:p w14:paraId="16194D83" w14:textId="77777777" w:rsidR="00F635F6" w:rsidRDefault="00F635F6" w:rsidP="00624C86">
      <w:pPr>
        <w:suppressAutoHyphens w:val="0"/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в_8</w:t>
      </w:r>
      <w:r w:rsidR="00BE456D">
        <w:rPr>
          <w:rFonts w:ascii="Times New Roman" w:hAnsi="Times New Roman" w:cs="Times New Roman"/>
          <w:sz w:val="28"/>
        </w:rPr>
        <w:t xml:space="preserve"> – ВВП (ППС, в ценах 2017, млрд </w:t>
      </w:r>
      <w:proofErr w:type="spellStart"/>
      <w:r w:rsidR="00BE456D">
        <w:rPr>
          <w:rFonts w:ascii="Times New Roman" w:hAnsi="Times New Roman" w:cs="Times New Roman"/>
          <w:sz w:val="28"/>
        </w:rPr>
        <w:t>долл</w:t>
      </w:r>
      <w:proofErr w:type="spellEnd"/>
      <w:r w:rsidR="00BE456D">
        <w:rPr>
          <w:rFonts w:ascii="Times New Roman" w:hAnsi="Times New Roman" w:cs="Times New Roman"/>
          <w:sz w:val="28"/>
        </w:rPr>
        <w:t>).</w:t>
      </w:r>
    </w:p>
    <w:p w14:paraId="63BF5016" w14:textId="77777777" w:rsidR="00BE456D" w:rsidRDefault="00BE456D" w:rsidP="00624C86">
      <w:pPr>
        <w:suppressAutoHyphens w:val="0"/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в_9 – общий объём венчурных инвестиций по категориям.</w:t>
      </w:r>
    </w:p>
    <w:p w14:paraId="3D70505B" w14:textId="77777777" w:rsidR="00BE456D" w:rsidRDefault="00BE456D" w:rsidP="00624C86">
      <w:pPr>
        <w:suppressAutoHyphens w:val="0"/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в_10 – объём ВВП по категориям.</w:t>
      </w:r>
    </w:p>
    <w:p w14:paraId="18C79046" w14:textId="77777777" w:rsidR="00BE456D" w:rsidRDefault="00BE456D" w:rsidP="00624C86">
      <w:pPr>
        <w:suppressAutoHyphens w:val="0"/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в_11 – значение экономического роста (%).</w:t>
      </w:r>
    </w:p>
    <w:p w14:paraId="3AF67F68" w14:textId="77777777" w:rsidR="00BE456D" w:rsidRDefault="00BE456D" w:rsidP="00624C86">
      <w:pPr>
        <w:suppressAutoHyphens w:val="0"/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в_12 – ВВП (ППС, в ценах 2017, млн </w:t>
      </w:r>
      <w:proofErr w:type="spellStart"/>
      <w:r>
        <w:rPr>
          <w:rFonts w:ascii="Times New Roman" w:hAnsi="Times New Roman" w:cs="Times New Roman"/>
          <w:sz w:val="28"/>
        </w:rPr>
        <w:t>долл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14:paraId="1D82988B" w14:textId="77777777" w:rsidR="00BE456D" w:rsidRDefault="00BE456D" w:rsidP="00624C86">
      <w:pPr>
        <w:suppressAutoHyphens w:val="0"/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в_13 – расходы на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BE456D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BE45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(исследования и разработки), % от ВВП.</w:t>
      </w:r>
    </w:p>
    <w:p w14:paraId="3622C538" w14:textId="77777777" w:rsidR="00BE456D" w:rsidRDefault="00BE456D" w:rsidP="00624C86">
      <w:pPr>
        <w:suppressAutoHyphens w:val="0"/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в_14 – расходы на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BE456D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, млн долл.</w:t>
      </w:r>
    </w:p>
    <w:p w14:paraId="6EF4BC13" w14:textId="77777777" w:rsidR="00D94255" w:rsidRDefault="00D94255" w:rsidP="00624C86">
      <w:pPr>
        <w:suppressAutoHyphens w:val="0"/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Переменные </w:t>
      </w:r>
      <w:r w:rsidR="00FD2DA1">
        <w:rPr>
          <w:rFonts w:ascii="Times New Roman" w:hAnsi="Times New Roman" w:cs="Times New Roman"/>
          <w:sz w:val="28"/>
        </w:rPr>
        <w:t xml:space="preserve">в_7, в_9, в_10, в_12, в_14 являются перекодированными версиями переменных (сопоставить с «оригинальными» можно по их смыслу), рассчитанные средствами </w:t>
      </w:r>
      <w:r w:rsidR="00FD2DA1">
        <w:rPr>
          <w:rFonts w:ascii="Times New Roman" w:hAnsi="Times New Roman" w:cs="Times New Roman"/>
          <w:sz w:val="28"/>
          <w:lang w:val="en-US"/>
        </w:rPr>
        <w:t>SPSS</w:t>
      </w:r>
      <w:r w:rsidR="00FD2DA1">
        <w:rPr>
          <w:rFonts w:ascii="Times New Roman" w:hAnsi="Times New Roman" w:cs="Times New Roman"/>
          <w:sz w:val="28"/>
        </w:rPr>
        <w:t>.</w:t>
      </w:r>
    </w:p>
    <w:p w14:paraId="3DE010BA" w14:textId="77777777" w:rsidR="00A01D25" w:rsidRDefault="00A01D25" w:rsidP="00624C86">
      <w:pPr>
        <w:suppressAutoHyphens w:val="0"/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252DA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Для переменной в_7 (инвестиции в стартапы) были выбраны следующие категории (Таблица 1):</w:t>
      </w:r>
    </w:p>
    <w:p w14:paraId="57EE71BB" w14:textId="77777777" w:rsidR="00333E53" w:rsidRDefault="00333E53" w:rsidP="00624C86">
      <w:pPr>
        <w:suppressAutoHyphens w:val="0"/>
        <w:spacing w:after="0"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33E53" w14:paraId="0487F2A8" w14:textId="77777777" w:rsidTr="00333E53">
        <w:tc>
          <w:tcPr>
            <w:tcW w:w="4672" w:type="dxa"/>
          </w:tcPr>
          <w:p w14:paraId="718DFBAE" w14:textId="77777777" w:rsidR="00333E53" w:rsidRPr="00321D96" w:rsidRDefault="00333E53" w:rsidP="00624C86">
            <w:pPr>
              <w:suppressAutoHyphens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21D96">
              <w:rPr>
                <w:rFonts w:ascii="Times New Roman" w:hAnsi="Times New Roman" w:cs="Times New Roman"/>
                <w:b/>
                <w:sz w:val="28"/>
              </w:rPr>
              <w:lastRenderedPageBreak/>
              <w:t>Категория (инвестиции в стартапы)</w:t>
            </w:r>
          </w:p>
        </w:tc>
        <w:tc>
          <w:tcPr>
            <w:tcW w:w="4673" w:type="dxa"/>
          </w:tcPr>
          <w:p w14:paraId="6EFD3FDD" w14:textId="77777777" w:rsidR="00333E53" w:rsidRPr="00321D96" w:rsidRDefault="00333E53" w:rsidP="00624C86">
            <w:pPr>
              <w:suppressAutoHyphens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21D96">
              <w:rPr>
                <w:rFonts w:ascii="Times New Roman" w:hAnsi="Times New Roman" w:cs="Times New Roman"/>
                <w:b/>
                <w:sz w:val="28"/>
              </w:rPr>
              <w:t>Значение</w:t>
            </w:r>
          </w:p>
        </w:tc>
      </w:tr>
      <w:tr w:rsidR="00333E53" w14:paraId="25464CC9" w14:textId="77777777" w:rsidTr="00333E53">
        <w:tc>
          <w:tcPr>
            <w:tcW w:w="4672" w:type="dxa"/>
          </w:tcPr>
          <w:p w14:paraId="6E74C3C3" w14:textId="77777777" w:rsidR="00333E53" w:rsidRPr="00256B53" w:rsidRDefault="00256B53" w:rsidP="00624C86">
            <w:pPr>
              <w:suppressAutoHyphens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Низкий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</w:rPr>
              <w:t>объём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1086FA8A" w14:textId="77777777" w:rsidR="00333E53" w:rsidRPr="00256B53" w:rsidRDefault="00256B53" w:rsidP="00624C86">
            <w:pPr>
              <w:suppressAutoHyphens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&lt; 50 </w:t>
            </w:r>
            <w:r>
              <w:rPr>
                <w:rFonts w:ascii="Times New Roman" w:hAnsi="Times New Roman" w:cs="Times New Roman"/>
                <w:sz w:val="28"/>
              </w:rPr>
              <w:t xml:space="preserve">млн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долл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(«1»)</w:t>
            </w:r>
          </w:p>
        </w:tc>
      </w:tr>
      <w:tr w:rsidR="00333E53" w14:paraId="169B61C8" w14:textId="77777777" w:rsidTr="00333E53">
        <w:tc>
          <w:tcPr>
            <w:tcW w:w="4672" w:type="dxa"/>
          </w:tcPr>
          <w:p w14:paraId="14FC8DE5" w14:textId="77777777" w:rsidR="00333E53" w:rsidRPr="00256B53" w:rsidRDefault="00256B53" w:rsidP="00624C86">
            <w:pPr>
              <w:suppressAutoHyphens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  <w:tc>
          <w:tcPr>
            <w:tcW w:w="4673" w:type="dxa"/>
          </w:tcPr>
          <w:p w14:paraId="37DC399F" w14:textId="77777777" w:rsidR="00333E53" w:rsidRPr="00256B53" w:rsidRDefault="00256B53" w:rsidP="00624C86">
            <w:pPr>
              <w:suppressAutoHyphens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50-100 млн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долл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(«2»)</w:t>
            </w:r>
          </w:p>
        </w:tc>
      </w:tr>
      <w:tr w:rsidR="00333E53" w14:paraId="04E50662" w14:textId="77777777" w:rsidTr="00333E53">
        <w:tc>
          <w:tcPr>
            <w:tcW w:w="4672" w:type="dxa"/>
          </w:tcPr>
          <w:p w14:paraId="6202E10A" w14:textId="77777777" w:rsidR="00333E53" w:rsidRPr="00256B53" w:rsidRDefault="00256B53" w:rsidP="00624C86">
            <w:pPr>
              <w:suppressAutoHyphens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Высокий</w:t>
            </w:r>
          </w:p>
        </w:tc>
        <w:tc>
          <w:tcPr>
            <w:tcW w:w="4673" w:type="dxa"/>
          </w:tcPr>
          <w:p w14:paraId="23801CFE" w14:textId="77777777" w:rsidR="00333E53" w:rsidRPr="00256B53" w:rsidRDefault="00256B53" w:rsidP="00624C86">
            <w:pPr>
              <w:suppressAutoHyphens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100+ млн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долл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(«3»)</w:t>
            </w:r>
          </w:p>
        </w:tc>
      </w:tr>
    </w:tbl>
    <w:p w14:paraId="6132835D" w14:textId="77777777" w:rsidR="00B80546" w:rsidRDefault="00B80546" w:rsidP="00624C86">
      <w:pPr>
        <w:suppressAutoHyphens w:val="0"/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69E6759A" w14:textId="77777777" w:rsidR="00321D96" w:rsidRDefault="00321D96" w:rsidP="00624C86">
      <w:pPr>
        <w:suppressAutoHyphens w:val="0"/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252DAE">
        <w:rPr>
          <w:rFonts w:ascii="Times New Roman" w:hAnsi="Times New Roman" w:cs="Times New Roman"/>
          <w:sz w:val="28"/>
        </w:rPr>
        <w:tab/>
      </w:r>
      <w:r w:rsidR="003670B5">
        <w:rPr>
          <w:rFonts w:ascii="Times New Roman" w:hAnsi="Times New Roman" w:cs="Times New Roman"/>
          <w:sz w:val="28"/>
        </w:rPr>
        <w:t>Для переменной в_9 (общий объём венчурных инвестиций по категориям) были выбраны следующие категории (Таблица 2):</w:t>
      </w:r>
    </w:p>
    <w:p w14:paraId="493A8796" w14:textId="77777777" w:rsidR="003670B5" w:rsidRDefault="00525491" w:rsidP="00624C86">
      <w:pPr>
        <w:suppressAutoHyphens w:val="0"/>
        <w:spacing w:after="0"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5491" w14:paraId="6A3520A4" w14:textId="77777777" w:rsidTr="00BB1964">
        <w:tc>
          <w:tcPr>
            <w:tcW w:w="4672" w:type="dxa"/>
          </w:tcPr>
          <w:p w14:paraId="65705BE2" w14:textId="77777777" w:rsidR="00525491" w:rsidRPr="00321D96" w:rsidRDefault="00525491" w:rsidP="00624C86">
            <w:pPr>
              <w:suppressAutoHyphens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21D96">
              <w:rPr>
                <w:rFonts w:ascii="Times New Roman" w:hAnsi="Times New Roman" w:cs="Times New Roman"/>
                <w:b/>
                <w:sz w:val="28"/>
              </w:rPr>
              <w:t>Категория (</w:t>
            </w:r>
            <w:r>
              <w:rPr>
                <w:rFonts w:ascii="Times New Roman" w:hAnsi="Times New Roman" w:cs="Times New Roman"/>
                <w:b/>
                <w:sz w:val="28"/>
              </w:rPr>
              <w:t>общий объём венчурных инвестиций</w:t>
            </w:r>
            <w:r w:rsidRPr="00321D96">
              <w:rPr>
                <w:rFonts w:ascii="Times New Roman" w:hAnsi="Times New Roman" w:cs="Times New Roman"/>
                <w:b/>
                <w:sz w:val="28"/>
              </w:rPr>
              <w:t>)</w:t>
            </w:r>
          </w:p>
        </w:tc>
        <w:tc>
          <w:tcPr>
            <w:tcW w:w="4673" w:type="dxa"/>
          </w:tcPr>
          <w:p w14:paraId="2281D780" w14:textId="77777777" w:rsidR="00525491" w:rsidRPr="00321D96" w:rsidRDefault="00525491" w:rsidP="00624C86">
            <w:pPr>
              <w:suppressAutoHyphens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21D96">
              <w:rPr>
                <w:rFonts w:ascii="Times New Roman" w:hAnsi="Times New Roman" w:cs="Times New Roman"/>
                <w:b/>
                <w:sz w:val="28"/>
              </w:rPr>
              <w:t>Значение</w:t>
            </w:r>
          </w:p>
        </w:tc>
      </w:tr>
      <w:tr w:rsidR="00525491" w14:paraId="2ACC9D00" w14:textId="77777777" w:rsidTr="00BB1964">
        <w:tc>
          <w:tcPr>
            <w:tcW w:w="4672" w:type="dxa"/>
          </w:tcPr>
          <w:p w14:paraId="133216F0" w14:textId="77777777" w:rsidR="00525491" w:rsidRPr="00256B53" w:rsidRDefault="00525491" w:rsidP="00624C86">
            <w:pPr>
              <w:suppressAutoHyphens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Низкий</w:t>
            </w:r>
          </w:p>
        </w:tc>
        <w:tc>
          <w:tcPr>
            <w:tcW w:w="4673" w:type="dxa"/>
          </w:tcPr>
          <w:p w14:paraId="03A6A31F" w14:textId="77777777" w:rsidR="00525491" w:rsidRPr="00256B53" w:rsidRDefault="00525491" w:rsidP="00624C86">
            <w:pPr>
              <w:suppressAutoHyphens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50 </w:t>
            </w:r>
            <w:r>
              <w:rPr>
                <w:rFonts w:ascii="Times New Roman" w:hAnsi="Times New Roman" w:cs="Times New Roman"/>
                <w:sz w:val="28"/>
              </w:rPr>
              <w:t xml:space="preserve">млн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долл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(«1»)</w:t>
            </w:r>
          </w:p>
        </w:tc>
      </w:tr>
      <w:tr w:rsidR="00525491" w14:paraId="1902262F" w14:textId="77777777" w:rsidTr="00BB1964">
        <w:tc>
          <w:tcPr>
            <w:tcW w:w="4672" w:type="dxa"/>
          </w:tcPr>
          <w:p w14:paraId="06AFE072" w14:textId="77777777" w:rsidR="00525491" w:rsidRPr="00256B53" w:rsidRDefault="00525491" w:rsidP="00624C86">
            <w:pPr>
              <w:suppressAutoHyphens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  <w:tc>
          <w:tcPr>
            <w:tcW w:w="4673" w:type="dxa"/>
          </w:tcPr>
          <w:p w14:paraId="244227EB" w14:textId="77777777" w:rsidR="00525491" w:rsidRPr="00256B53" w:rsidRDefault="00525491" w:rsidP="00624C86">
            <w:pPr>
              <w:suppressAutoHyphens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150-300 млн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долл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(«2»)</w:t>
            </w:r>
          </w:p>
        </w:tc>
      </w:tr>
      <w:tr w:rsidR="00525491" w14:paraId="71207D0B" w14:textId="77777777" w:rsidTr="00BB1964">
        <w:tc>
          <w:tcPr>
            <w:tcW w:w="4672" w:type="dxa"/>
          </w:tcPr>
          <w:p w14:paraId="027F9B51" w14:textId="77777777" w:rsidR="00525491" w:rsidRPr="00256B53" w:rsidRDefault="00525491" w:rsidP="00624C86">
            <w:pPr>
              <w:suppressAutoHyphens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Высокий</w:t>
            </w:r>
          </w:p>
        </w:tc>
        <w:tc>
          <w:tcPr>
            <w:tcW w:w="4673" w:type="dxa"/>
          </w:tcPr>
          <w:p w14:paraId="7476156A" w14:textId="77777777" w:rsidR="00525491" w:rsidRPr="00256B53" w:rsidRDefault="00525491" w:rsidP="00624C86">
            <w:pPr>
              <w:suppressAutoHyphens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300+ млн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долл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(«3»)</w:t>
            </w:r>
          </w:p>
        </w:tc>
      </w:tr>
    </w:tbl>
    <w:p w14:paraId="0669F161" w14:textId="77777777" w:rsidR="00525491" w:rsidRDefault="00525491" w:rsidP="00624C86">
      <w:pPr>
        <w:suppressAutoHyphens w:val="0"/>
        <w:spacing w:after="0" w:line="276" w:lineRule="auto"/>
        <w:jc w:val="both"/>
        <w:rPr>
          <w:rFonts w:ascii="Times New Roman" w:hAnsi="Times New Roman" w:cs="Times New Roman"/>
          <w:sz w:val="28"/>
        </w:rPr>
      </w:pPr>
    </w:p>
    <w:p w14:paraId="295DDCBF" w14:textId="77777777" w:rsidR="00BA3BD0" w:rsidRDefault="00BA3BD0" w:rsidP="00624C86">
      <w:pPr>
        <w:suppressAutoHyphens w:val="0"/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C1B20">
        <w:rPr>
          <w:rFonts w:ascii="Times New Roman" w:hAnsi="Times New Roman" w:cs="Times New Roman"/>
          <w:sz w:val="28"/>
        </w:rPr>
        <w:t>Для переменной в_10 (объём ВВП по категориям)</w:t>
      </w:r>
      <w:r w:rsidR="00ED2399">
        <w:rPr>
          <w:rFonts w:ascii="Times New Roman" w:hAnsi="Times New Roman" w:cs="Times New Roman"/>
          <w:sz w:val="28"/>
        </w:rPr>
        <w:t xml:space="preserve"> были выбраны следующие категории (Таблица 3):</w:t>
      </w:r>
    </w:p>
    <w:p w14:paraId="10EA624F" w14:textId="77777777" w:rsidR="008D71CB" w:rsidRDefault="008D71CB" w:rsidP="00624C86">
      <w:pPr>
        <w:suppressAutoHyphens w:val="0"/>
        <w:spacing w:after="0"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6C1F" w14:paraId="70044DD3" w14:textId="77777777" w:rsidTr="00BB1964">
        <w:tc>
          <w:tcPr>
            <w:tcW w:w="4672" w:type="dxa"/>
          </w:tcPr>
          <w:p w14:paraId="0ACA18CA" w14:textId="77777777" w:rsidR="00AD6C1F" w:rsidRPr="00AD6C1F" w:rsidRDefault="00AD6C1F" w:rsidP="00624C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6C1F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Категория (объём ВВП)</w:t>
            </w:r>
          </w:p>
        </w:tc>
        <w:tc>
          <w:tcPr>
            <w:tcW w:w="4673" w:type="dxa"/>
          </w:tcPr>
          <w:p w14:paraId="0625B7AE" w14:textId="77777777" w:rsidR="00AD6C1F" w:rsidRPr="00AD6C1F" w:rsidRDefault="00AD6C1F" w:rsidP="00624C8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6C1F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AD6C1F" w14:paraId="53EEC4F6" w14:textId="77777777" w:rsidTr="00BB1964">
        <w:tc>
          <w:tcPr>
            <w:tcW w:w="4672" w:type="dxa"/>
          </w:tcPr>
          <w:p w14:paraId="702A79A8" w14:textId="77777777" w:rsidR="00AD6C1F" w:rsidRPr="00AD6C1F" w:rsidRDefault="00AD6C1F" w:rsidP="00624C8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6C1F">
              <w:rPr>
                <w:rFonts w:ascii="Times New Roman" w:hAnsi="Times New Roman" w:cs="Times New Roman"/>
                <w:sz w:val="28"/>
                <w:szCs w:val="28"/>
              </w:rPr>
              <w:t>До 250 млн</w:t>
            </w:r>
          </w:p>
        </w:tc>
        <w:tc>
          <w:tcPr>
            <w:tcW w:w="4673" w:type="dxa"/>
          </w:tcPr>
          <w:p w14:paraId="288A125A" w14:textId="77777777" w:rsidR="00AD6C1F" w:rsidRPr="00AD6C1F" w:rsidRDefault="00AD6C1F" w:rsidP="00624C8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D6C1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AD6C1F" w14:paraId="587A5BA8" w14:textId="77777777" w:rsidTr="00BB1964">
        <w:tc>
          <w:tcPr>
            <w:tcW w:w="4672" w:type="dxa"/>
          </w:tcPr>
          <w:p w14:paraId="0A06E909" w14:textId="77777777" w:rsidR="00AD6C1F" w:rsidRPr="00AD6C1F" w:rsidRDefault="00AD6C1F" w:rsidP="00624C8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6C1F">
              <w:rPr>
                <w:rFonts w:ascii="Times New Roman" w:hAnsi="Times New Roman" w:cs="Times New Roman"/>
                <w:sz w:val="28"/>
                <w:szCs w:val="28"/>
              </w:rPr>
              <w:t>250-300 млн</w:t>
            </w:r>
          </w:p>
        </w:tc>
        <w:tc>
          <w:tcPr>
            <w:tcW w:w="4673" w:type="dxa"/>
          </w:tcPr>
          <w:p w14:paraId="4626C5AD" w14:textId="77777777" w:rsidR="00AD6C1F" w:rsidRPr="00AD6C1F" w:rsidRDefault="00AD6C1F" w:rsidP="00624C8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D6C1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AD6C1F" w14:paraId="59EF0CC8" w14:textId="77777777" w:rsidTr="00BB1964">
        <w:tc>
          <w:tcPr>
            <w:tcW w:w="4672" w:type="dxa"/>
          </w:tcPr>
          <w:p w14:paraId="691B25C1" w14:textId="77777777" w:rsidR="00AD6C1F" w:rsidRPr="00AD6C1F" w:rsidRDefault="00AD6C1F" w:rsidP="00624C8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6C1F">
              <w:rPr>
                <w:rFonts w:ascii="Times New Roman" w:hAnsi="Times New Roman" w:cs="Times New Roman"/>
                <w:sz w:val="28"/>
                <w:szCs w:val="28"/>
              </w:rPr>
              <w:t>300-350 млн</w:t>
            </w:r>
          </w:p>
        </w:tc>
        <w:tc>
          <w:tcPr>
            <w:tcW w:w="4673" w:type="dxa"/>
          </w:tcPr>
          <w:p w14:paraId="51844244" w14:textId="77777777" w:rsidR="00AD6C1F" w:rsidRPr="00AD6C1F" w:rsidRDefault="00AD6C1F" w:rsidP="00624C8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D6C1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AD6C1F" w14:paraId="00C060A0" w14:textId="77777777" w:rsidTr="00BB1964">
        <w:tc>
          <w:tcPr>
            <w:tcW w:w="4672" w:type="dxa"/>
          </w:tcPr>
          <w:p w14:paraId="42CA4BF1" w14:textId="77777777" w:rsidR="00AD6C1F" w:rsidRPr="00AD6C1F" w:rsidRDefault="00AD6C1F" w:rsidP="00624C8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6C1F">
              <w:rPr>
                <w:rFonts w:ascii="Times New Roman" w:hAnsi="Times New Roman" w:cs="Times New Roman"/>
                <w:sz w:val="28"/>
                <w:szCs w:val="28"/>
              </w:rPr>
              <w:t>350-400 млн</w:t>
            </w:r>
          </w:p>
        </w:tc>
        <w:tc>
          <w:tcPr>
            <w:tcW w:w="4673" w:type="dxa"/>
          </w:tcPr>
          <w:p w14:paraId="65D03CFB" w14:textId="77777777" w:rsidR="00AD6C1F" w:rsidRPr="00AD6C1F" w:rsidRDefault="00AD6C1F" w:rsidP="00624C8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D6C1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AD6C1F" w14:paraId="2AFD065A" w14:textId="77777777" w:rsidTr="00BB1964">
        <w:tc>
          <w:tcPr>
            <w:tcW w:w="4672" w:type="dxa"/>
          </w:tcPr>
          <w:p w14:paraId="6F477BC4" w14:textId="77777777" w:rsidR="00AD6C1F" w:rsidRPr="00AD6C1F" w:rsidRDefault="00AD6C1F" w:rsidP="00624C8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6C1F">
              <w:rPr>
                <w:rFonts w:ascii="Times New Roman" w:hAnsi="Times New Roman" w:cs="Times New Roman"/>
                <w:sz w:val="28"/>
                <w:szCs w:val="28"/>
              </w:rPr>
              <w:t>400-450 млн</w:t>
            </w:r>
          </w:p>
        </w:tc>
        <w:tc>
          <w:tcPr>
            <w:tcW w:w="4673" w:type="dxa"/>
          </w:tcPr>
          <w:p w14:paraId="2463FD66" w14:textId="77777777" w:rsidR="00AD6C1F" w:rsidRPr="00AD6C1F" w:rsidRDefault="00AD6C1F" w:rsidP="00624C8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D6C1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AD6C1F" w14:paraId="74193011" w14:textId="77777777" w:rsidTr="00BB1964">
        <w:tc>
          <w:tcPr>
            <w:tcW w:w="4672" w:type="dxa"/>
          </w:tcPr>
          <w:p w14:paraId="47E96B6F" w14:textId="77777777" w:rsidR="00AD6C1F" w:rsidRPr="00AD6C1F" w:rsidRDefault="00AD6C1F" w:rsidP="00624C8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6C1F">
              <w:rPr>
                <w:rFonts w:ascii="Times New Roman" w:hAnsi="Times New Roman" w:cs="Times New Roman"/>
                <w:sz w:val="28"/>
                <w:szCs w:val="28"/>
              </w:rPr>
              <w:t>450-500 млн</w:t>
            </w:r>
          </w:p>
        </w:tc>
        <w:tc>
          <w:tcPr>
            <w:tcW w:w="4673" w:type="dxa"/>
          </w:tcPr>
          <w:p w14:paraId="60CB58C4" w14:textId="77777777" w:rsidR="00AD6C1F" w:rsidRPr="00AD6C1F" w:rsidRDefault="00AD6C1F" w:rsidP="00624C8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D6C1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AD6C1F" w14:paraId="0E2F960E" w14:textId="77777777" w:rsidTr="00BB1964">
        <w:tc>
          <w:tcPr>
            <w:tcW w:w="4672" w:type="dxa"/>
          </w:tcPr>
          <w:p w14:paraId="0555E65A" w14:textId="77777777" w:rsidR="00AD6C1F" w:rsidRPr="00AD6C1F" w:rsidRDefault="00AD6C1F" w:rsidP="00624C8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6C1F">
              <w:rPr>
                <w:rFonts w:ascii="Times New Roman" w:hAnsi="Times New Roman" w:cs="Times New Roman"/>
                <w:sz w:val="28"/>
                <w:szCs w:val="28"/>
              </w:rPr>
              <w:t>500+ млн</w:t>
            </w:r>
          </w:p>
        </w:tc>
        <w:tc>
          <w:tcPr>
            <w:tcW w:w="4673" w:type="dxa"/>
          </w:tcPr>
          <w:p w14:paraId="4B72CD02" w14:textId="77777777" w:rsidR="00AD6C1F" w:rsidRPr="00AD6C1F" w:rsidRDefault="00AD6C1F" w:rsidP="00624C8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AD6C1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529C3FC5" w14:textId="77777777" w:rsidR="00ED2399" w:rsidRDefault="00ED2399" w:rsidP="00624C86">
      <w:pPr>
        <w:suppressAutoHyphens w:val="0"/>
        <w:spacing w:after="0" w:line="276" w:lineRule="auto"/>
        <w:jc w:val="both"/>
        <w:rPr>
          <w:rFonts w:ascii="Times New Roman" w:hAnsi="Times New Roman" w:cs="Times New Roman"/>
          <w:sz w:val="28"/>
        </w:rPr>
      </w:pPr>
    </w:p>
    <w:p w14:paraId="4F475A9B" w14:textId="77777777" w:rsidR="00AD6C1F" w:rsidRDefault="00AD6C1F" w:rsidP="00624C86">
      <w:pPr>
        <w:suppressAutoHyphens w:val="0"/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Переменная в_12 (ВВП (ППС, в ценах 2017, млн </w:t>
      </w:r>
      <w:proofErr w:type="spellStart"/>
      <w:r>
        <w:rPr>
          <w:rFonts w:ascii="Times New Roman" w:hAnsi="Times New Roman" w:cs="Times New Roman"/>
          <w:sz w:val="28"/>
        </w:rPr>
        <w:t>долл</w:t>
      </w:r>
      <w:proofErr w:type="spellEnd"/>
      <w:r>
        <w:rPr>
          <w:rFonts w:ascii="Times New Roman" w:hAnsi="Times New Roman" w:cs="Times New Roman"/>
          <w:sz w:val="28"/>
        </w:rPr>
        <w:t xml:space="preserve">) была получена простым умножением переменной в_8 на 1000. Переменная в_14 (расходы на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AD6C1F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 w:rsidR="00DA0E0E">
        <w:rPr>
          <w:rFonts w:ascii="Times New Roman" w:hAnsi="Times New Roman" w:cs="Times New Roman"/>
          <w:sz w:val="28"/>
        </w:rPr>
        <w:t>,</w:t>
      </w:r>
      <w:r w:rsidRPr="00AD6C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млн </w:t>
      </w:r>
      <w:proofErr w:type="spellStart"/>
      <w:r>
        <w:rPr>
          <w:rFonts w:ascii="Times New Roman" w:hAnsi="Times New Roman" w:cs="Times New Roman"/>
          <w:sz w:val="28"/>
        </w:rPr>
        <w:t>долл</w:t>
      </w:r>
      <w:proofErr w:type="spellEnd"/>
      <w:r w:rsidR="00DA0E0E">
        <w:rPr>
          <w:rFonts w:ascii="Times New Roman" w:hAnsi="Times New Roman" w:cs="Times New Roman"/>
          <w:sz w:val="28"/>
        </w:rPr>
        <w:t xml:space="preserve">) была получена умножением значения ВВП в млн </w:t>
      </w:r>
      <w:proofErr w:type="spellStart"/>
      <w:r w:rsidR="00DA0E0E">
        <w:rPr>
          <w:rFonts w:ascii="Times New Roman" w:hAnsi="Times New Roman" w:cs="Times New Roman"/>
          <w:sz w:val="28"/>
        </w:rPr>
        <w:t>долл</w:t>
      </w:r>
      <w:proofErr w:type="spellEnd"/>
      <w:r w:rsidR="00DA0E0E">
        <w:rPr>
          <w:rFonts w:ascii="Times New Roman" w:hAnsi="Times New Roman" w:cs="Times New Roman"/>
          <w:sz w:val="28"/>
        </w:rPr>
        <w:t xml:space="preserve"> на процент, который составляют расходы на НИОКР, и делением значения на 100 -</w:t>
      </w:r>
      <w:r>
        <w:rPr>
          <w:rFonts w:ascii="Times New Roman" w:hAnsi="Times New Roman" w:cs="Times New Roman"/>
          <w:sz w:val="28"/>
        </w:rPr>
        <w:t xml:space="preserve"> в_12 * в_13 </w:t>
      </w:r>
      <w:r w:rsidRPr="00AD6C1F">
        <w:rPr>
          <w:rFonts w:ascii="Times New Roman" w:hAnsi="Times New Roman" w:cs="Times New Roman"/>
          <w:sz w:val="28"/>
        </w:rPr>
        <w:t>/ 100.</w:t>
      </w:r>
    </w:p>
    <w:p w14:paraId="7F6BD7AD" w14:textId="77777777" w:rsidR="00E448BC" w:rsidRDefault="00E448BC" w:rsidP="00525491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73E1336" w14:textId="77777777" w:rsidR="00AE404C" w:rsidRDefault="001356A3" w:rsidP="00AE404C">
      <w:pPr>
        <w:pStyle w:val="2"/>
      </w:pPr>
      <w:bookmarkStart w:id="4" w:name="_Toc89784917"/>
      <w:r>
        <w:t xml:space="preserve">2.2. </w:t>
      </w:r>
      <w:r w:rsidR="001A7AE1">
        <w:t xml:space="preserve">Анализ </w:t>
      </w:r>
      <w:r w:rsidR="00D662D6">
        <w:t>исходных данных с помощью частотных распределений и статистических характеристик</w:t>
      </w:r>
      <w:r w:rsidR="006218B1">
        <w:t xml:space="preserve"> (венчурная активность в регионе в </w:t>
      </w:r>
      <w:r w:rsidR="00D15ABD">
        <w:t>2010-х</w:t>
      </w:r>
      <w:r w:rsidR="006218B1">
        <w:t>)</w:t>
      </w:r>
      <w:bookmarkEnd w:id="4"/>
    </w:p>
    <w:p w14:paraId="5373F920" w14:textId="77777777" w:rsidR="00B5216B" w:rsidRDefault="00B5216B" w:rsidP="00B5216B"/>
    <w:p w14:paraId="232919CB" w14:textId="77777777" w:rsidR="00B5216B" w:rsidRDefault="00622E19" w:rsidP="00624C86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В начале исследования были изучены исходны</w:t>
      </w:r>
      <w:r w:rsidR="001D2BE5">
        <w:rPr>
          <w:rFonts w:ascii="Times New Roman" w:hAnsi="Times New Roman" w:cs="Times New Roman"/>
          <w:sz w:val="28"/>
        </w:rPr>
        <w:t xml:space="preserve">е </w:t>
      </w:r>
      <w:r w:rsidR="00C0181A">
        <w:rPr>
          <w:rFonts w:ascii="Times New Roman" w:hAnsi="Times New Roman" w:cs="Times New Roman"/>
          <w:sz w:val="28"/>
        </w:rPr>
        <w:t>данные для получения наиболее простых</w:t>
      </w:r>
      <w:r w:rsidR="00627573">
        <w:rPr>
          <w:rFonts w:ascii="Times New Roman" w:hAnsi="Times New Roman" w:cs="Times New Roman"/>
          <w:sz w:val="28"/>
        </w:rPr>
        <w:t xml:space="preserve"> первоначальных</w:t>
      </w:r>
      <w:r w:rsidR="00C0181A">
        <w:rPr>
          <w:rFonts w:ascii="Times New Roman" w:hAnsi="Times New Roman" w:cs="Times New Roman"/>
          <w:sz w:val="28"/>
        </w:rPr>
        <w:t xml:space="preserve"> выводов по ним (которые легко можно проверить визуальным анализом данных).</w:t>
      </w:r>
    </w:p>
    <w:p w14:paraId="7ACF3A10" w14:textId="77777777" w:rsidR="00842E7C" w:rsidRDefault="00842E7C" w:rsidP="00624C86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Методом </w:t>
      </w:r>
      <w:r w:rsidR="003802DE">
        <w:rPr>
          <w:rFonts w:ascii="Times New Roman" w:hAnsi="Times New Roman" w:cs="Times New Roman"/>
          <w:sz w:val="28"/>
        </w:rPr>
        <w:t>частотн</w:t>
      </w:r>
      <w:r w:rsidR="00AF78CD">
        <w:rPr>
          <w:rFonts w:ascii="Times New Roman" w:hAnsi="Times New Roman" w:cs="Times New Roman"/>
          <w:sz w:val="28"/>
        </w:rPr>
        <w:t>ого анализа был произведён анализ венчурной активности на рынке стартапов в Северной Европы (пожалуй, этот сегмент компаний является наиболее интересным для стороннего наблюдателя).</w:t>
      </w:r>
      <w:r w:rsidR="004A7BC9">
        <w:rPr>
          <w:rFonts w:ascii="Times New Roman" w:hAnsi="Times New Roman" w:cs="Times New Roman"/>
          <w:sz w:val="28"/>
        </w:rPr>
        <w:t xml:space="preserve"> Исследование было сделано за период с 2010 по 2019 гг. – временной интервал между двумя глобальными экономическими кризисами.</w:t>
      </w:r>
      <w:r w:rsidR="00BD5AE3">
        <w:rPr>
          <w:rFonts w:ascii="Times New Roman" w:hAnsi="Times New Roman" w:cs="Times New Roman"/>
          <w:sz w:val="28"/>
        </w:rPr>
        <w:t xml:space="preserve"> </w:t>
      </w:r>
      <w:r w:rsidR="002F2CCC">
        <w:rPr>
          <w:rFonts w:ascii="Times New Roman" w:hAnsi="Times New Roman" w:cs="Times New Roman"/>
          <w:sz w:val="28"/>
        </w:rPr>
        <w:t>Результат приведён в таблице 4.</w:t>
      </w:r>
    </w:p>
    <w:p w14:paraId="7AF3764A" w14:textId="77777777" w:rsidR="00FE3591" w:rsidRDefault="00FE3591" w:rsidP="00624C86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</w:p>
    <w:p w14:paraId="690DE619" w14:textId="77777777" w:rsidR="00FE3591" w:rsidRDefault="002F2CCC" w:rsidP="002F2CCC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4.</w:t>
      </w:r>
    </w:p>
    <w:tbl>
      <w:tblPr>
        <w:tblW w:w="8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8"/>
        <w:gridCol w:w="1598"/>
        <w:gridCol w:w="169"/>
        <w:gridCol w:w="861"/>
        <w:gridCol w:w="169"/>
        <w:gridCol w:w="1015"/>
        <w:gridCol w:w="169"/>
        <w:gridCol w:w="1307"/>
        <w:gridCol w:w="169"/>
        <w:gridCol w:w="1307"/>
        <w:gridCol w:w="170"/>
      </w:tblGrid>
      <w:tr w:rsidR="00FE3591" w:rsidRPr="000538EA" w14:paraId="42255EE3" w14:textId="77777777" w:rsidTr="00FE3591">
        <w:trPr>
          <w:cantSplit/>
        </w:trPr>
        <w:tc>
          <w:tcPr>
            <w:tcW w:w="81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41389A" w14:textId="77777777" w:rsidR="00FE3591" w:rsidRPr="00DE173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1736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Инвестиции в стартапы по </w:t>
            </w:r>
            <w:proofErr w:type="spellStart"/>
            <w:r w:rsidRPr="00DE1736">
              <w:rPr>
                <w:rFonts w:ascii="Arial" w:hAnsi="Arial" w:cs="Arial"/>
                <w:bCs/>
                <w:color w:val="000000"/>
                <w:sz w:val="18"/>
                <w:szCs w:val="18"/>
              </w:rPr>
              <w:t>категориям</w:t>
            </w:r>
            <w:r w:rsidRPr="00DE1736">
              <w:rPr>
                <w:rFonts w:ascii="Arial" w:hAnsi="Arial" w:cs="Arial"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FE3591" w:rsidRPr="000538EA" w14:paraId="67BEA814" w14:textId="77777777" w:rsidTr="00FE3591">
        <w:trPr>
          <w:cantSplit/>
        </w:trPr>
        <w:tc>
          <w:tcPr>
            <w:tcW w:w="296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2EB5F65E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5B94E11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38EA">
              <w:rPr>
                <w:rFonts w:ascii="Arial" w:hAnsi="Arial" w:cs="Arial"/>
                <w:color w:val="000000"/>
                <w:sz w:val="18"/>
                <w:szCs w:val="18"/>
              </w:rPr>
              <w:t>Частота</w:t>
            </w:r>
          </w:p>
        </w:tc>
        <w:tc>
          <w:tcPr>
            <w:tcW w:w="1184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0F49475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38EA">
              <w:rPr>
                <w:rFonts w:ascii="Arial" w:hAnsi="Arial" w:cs="Arial"/>
                <w:color w:val="000000"/>
                <w:sz w:val="18"/>
                <w:szCs w:val="18"/>
              </w:rPr>
              <w:t>Проценты</w:t>
            </w:r>
          </w:p>
        </w:tc>
        <w:tc>
          <w:tcPr>
            <w:tcW w:w="1476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1EFFB69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38EA">
              <w:rPr>
                <w:rFonts w:ascii="Arial" w:hAnsi="Arial" w:cs="Arial"/>
                <w:color w:val="000000"/>
                <w:sz w:val="18"/>
                <w:szCs w:val="18"/>
              </w:rPr>
              <w:t>Валидный процент</w:t>
            </w:r>
          </w:p>
        </w:tc>
        <w:tc>
          <w:tcPr>
            <w:tcW w:w="1477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E8CB9BF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38EA">
              <w:rPr>
                <w:rFonts w:ascii="Arial" w:hAnsi="Arial" w:cs="Arial"/>
                <w:color w:val="000000"/>
                <w:sz w:val="18"/>
                <w:szCs w:val="18"/>
              </w:rPr>
              <w:t>Накопленный процент</w:t>
            </w:r>
          </w:p>
        </w:tc>
      </w:tr>
      <w:tr w:rsidR="00FE3591" w:rsidRPr="000538EA" w14:paraId="1052FA79" w14:textId="77777777" w:rsidTr="00FE3591">
        <w:trPr>
          <w:cantSplit/>
        </w:trPr>
        <w:tc>
          <w:tcPr>
            <w:tcW w:w="119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843035A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38EA">
              <w:rPr>
                <w:rFonts w:ascii="Arial" w:hAnsi="Arial" w:cs="Arial"/>
                <w:color w:val="000000"/>
                <w:sz w:val="18"/>
                <w:szCs w:val="18"/>
              </w:rPr>
              <w:t>Валидные</w:t>
            </w:r>
          </w:p>
        </w:tc>
        <w:tc>
          <w:tcPr>
            <w:tcW w:w="1767" w:type="dxa"/>
            <w:gridSpan w:val="2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E43F61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38EA">
              <w:rPr>
                <w:rFonts w:ascii="Arial" w:hAnsi="Arial" w:cs="Arial"/>
                <w:color w:val="000000"/>
                <w:sz w:val="18"/>
                <w:szCs w:val="18"/>
              </w:rPr>
              <w:t xml:space="preserve">до 50 млн </w:t>
            </w:r>
            <w:proofErr w:type="spellStart"/>
            <w:r w:rsidRPr="000538EA">
              <w:rPr>
                <w:rFonts w:ascii="Arial" w:hAnsi="Arial" w:cs="Arial"/>
                <w:color w:val="000000"/>
                <w:sz w:val="18"/>
                <w:szCs w:val="18"/>
              </w:rPr>
              <w:t>долл</w:t>
            </w:r>
            <w:proofErr w:type="spellEnd"/>
          </w:p>
        </w:tc>
        <w:tc>
          <w:tcPr>
            <w:tcW w:w="1030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60421C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38E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84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FD4E5CB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38EA">
              <w:rPr>
                <w:rFonts w:ascii="Arial" w:hAnsi="Arial" w:cs="Arial"/>
                <w:color w:val="000000"/>
                <w:sz w:val="18"/>
                <w:szCs w:val="18"/>
              </w:rPr>
              <w:t>20,0</w:t>
            </w:r>
          </w:p>
        </w:tc>
        <w:tc>
          <w:tcPr>
            <w:tcW w:w="1476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5806A5F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38EA">
              <w:rPr>
                <w:rFonts w:ascii="Arial" w:hAnsi="Arial" w:cs="Arial"/>
                <w:color w:val="000000"/>
                <w:sz w:val="18"/>
                <w:szCs w:val="18"/>
              </w:rPr>
              <w:t>20,0</w:t>
            </w:r>
          </w:p>
        </w:tc>
        <w:tc>
          <w:tcPr>
            <w:tcW w:w="1477" w:type="dxa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7D9F3F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38EA">
              <w:rPr>
                <w:rFonts w:ascii="Arial" w:hAnsi="Arial" w:cs="Arial"/>
                <w:color w:val="000000"/>
                <w:sz w:val="18"/>
                <w:szCs w:val="18"/>
              </w:rPr>
              <w:t>20,0</w:t>
            </w:r>
          </w:p>
        </w:tc>
      </w:tr>
      <w:tr w:rsidR="00FE3591" w:rsidRPr="000538EA" w14:paraId="1E401A6E" w14:textId="77777777" w:rsidTr="00FE3591">
        <w:trPr>
          <w:cantSplit/>
        </w:trPr>
        <w:tc>
          <w:tcPr>
            <w:tcW w:w="119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A5FAB7A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67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425804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38EA">
              <w:rPr>
                <w:rFonts w:ascii="Arial" w:hAnsi="Arial" w:cs="Arial"/>
                <w:color w:val="000000"/>
                <w:sz w:val="18"/>
                <w:szCs w:val="18"/>
              </w:rPr>
              <w:t xml:space="preserve">50-100 млн </w:t>
            </w:r>
            <w:proofErr w:type="spellStart"/>
            <w:r w:rsidRPr="000538EA">
              <w:rPr>
                <w:rFonts w:ascii="Arial" w:hAnsi="Arial" w:cs="Arial"/>
                <w:color w:val="000000"/>
                <w:sz w:val="18"/>
                <w:szCs w:val="18"/>
              </w:rPr>
              <w:t>долл</w:t>
            </w:r>
            <w:proofErr w:type="spellEnd"/>
          </w:p>
        </w:tc>
        <w:tc>
          <w:tcPr>
            <w:tcW w:w="1030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3374C1F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38EA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84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7023B8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38EA">
              <w:rPr>
                <w:rFonts w:ascii="Arial" w:hAnsi="Arial" w:cs="Arial"/>
                <w:color w:val="000000"/>
                <w:sz w:val="18"/>
                <w:szCs w:val="18"/>
              </w:rPr>
              <w:t>60,0</w:t>
            </w: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17173E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38EA">
              <w:rPr>
                <w:rFonts w:ascii="Arial" w:hAnsi="Arial" w:cs="Arial"/>
                <w:color w:val="000000"/>
                <w:sz w:val="18"/>
                <w:szCs w:val="18"/>
              </w:rPr>
              <w:t>60,0</w:t>
            </w:r>
          </w:p>
        </w:tc>
        <w:tc>
          <w:tcPr>
            <w:tcW w:w="1477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E397B8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38EA">
              <w:rPr>
                <w:rFonts w:ascii="Arial" w:hAnsi="Arial" w:cs="Arial"/>
                <w:color w:val="000000"/>
                <w:sz w:val="18"/>
                <w:szCs w:val="18"/>
              </w:rPr>
              <w:t>80,0</w:t>
            </w:r>
          </w:p>
        </w:tc>
      </w:tr>
      <w:tr w:rsidR="00FE3591" w:rsidRPr="000538EA" w14:paraId="70D91234" w14:textId="77777777" w:rsidTr="00FE3591">
        <w:trPr>
          <w:cantSplit/>
        </w:trPr>
        <w:tc>
          <w:tcPr>
            <w:tcW w:w="119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C42A45D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67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A83251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38EA">
              <w:rPr>
                <w:rFonts w:ascii="Arial" w:hAnsi="Arial" w:cs="Arial"/>
                <w:color w:val="000000"/>
                <w:sz w:val="18"/>
                <w:szCs w:val="18"/>
              </w:rPr>
              <w:t xml:space="preserve">100+ млн </w:t>
            </w:r>
            <w:proofErr w:type="spellStart"/>
            <w:r w:rsidRPr="000538EA">
              <w:rPr>
                <w:rFonts w:ascii="Arial" w:hAnsi="Arial" w:cs="Arial"/>
                <w:color w:val="000000"/>
                <w:sz w:val="18"/>
                <w:szCs w:val="18"/>
              </w:rPr>
              <w:t>долл</w:t>
            </w:r>
            <w:proofErr w:type="spellEnd"/>
          </w:p>
        </w:tc>
        <w:tc>
          <w:tcPr>
            <w:tcW w:w="1030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9F1F8D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38E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84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8A1AB2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38EA">
              <w:rPr>
                <w:rFonts w:ascii="Arial" w:hAnsi="Arial" w:cs="Arial"/>
                <w:color w:val="000000"/>
                <w:sz w:val="18"/>
                <w:szCs w:val="18"/>
              </w:rPr>
              <w:t>20,0</w:t>
            </w: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2EFA86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38EA">
              <w:rPr>
                <w:rFonts w:ascii="Arial" w:hAnsi="Arial" w:cs="Arial"/>
                <w:color w:val="000000"/>
                <w:sz w:val="18"/>
                <w:szCs w:val="18"/>
              </w:rPr>
              <w:t>20,0</w:t>
            </w:r>
          </w:p>
        </w:tc>
        <w:tc>
          <w:tcPr>
            <w:tcW w:w="1477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4DDB0C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38EA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</w:tr>
      <w:tr w:rsidR="00FE3591" w:rsidRPr="000538EA" w14:paraId="30C0814C" w14:textId="77777777" w:rsidTr="00FE3591">
        <w:trPr>
          <w:cantSplit/>
        </w:trPr>
        <w:tc>
          <w:tcPr>
            <w:tcW w:w="119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29C5398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23FCE0D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38EA">
              <w:rPr>
                <w:rFonts w:ascii="Arial" w:hAnsi="Arial" w:cs="Arial"/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103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4D0AEC6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38EA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84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4CDCAE8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38EA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476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5EDEC30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38EA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477" w:type="dxa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38AD955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591" w:rsidRPr="000538EA" w14:paraId="31F1F8BA" w14:textId="77777777" w:rsidTr="00FE3591">
        <w:trPr>
          <w:cantSplit/>
        </w:trPr>
        <w:tc>
          <w:tcPr>
            <w:tcW w:w="81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D1E58" w14:textId="77777777" w:rsidR="00FE3591" w:rsidRPr="000538EA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38EA">
              <w:rPr>
                <w:rFonts w:ascii="Arial" w:hAnsi="Arial" w:cs="Arial"/>
                <w:color w:val="000000"/>
                <w:sz w:val="18"/>
                <w:szCs w:val="18"/>
              </w:rPr>
              <w:t>a. Страна = Норвегия</w:t>
            </w:r>
          </w:p>
        </w:tc>
      </w:tr>
      <w:tr w:rsidR="00FE3591" w:rsidRPr="00773707" w14:paraId="6401E263" w14:textId="77777777" w:rsidTr="00FE3591">
        <w:trPr>
          <w:cantSplit/>
        </w:trPr>
        <w:tc>
          <w:tcPr>
            <w:tcW w:w="81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FBA7C" w14:textId="77777777" w:rsidR="00FE3591" w:rsidRPr="00DE173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591">
              <w:rPr>
                <w:rFonts w:ascii="Arial" w:hAnsi="Arial" w:cs="Arial"/>
                <w:color w:val="000000"/>
                <w:sz w:val="18"/>
                <w:szCs w:val="18"/>
              </w:rPr>
              <w:t>Инвестиции в стартапы по категориям</w:t>
            </w:r>
            <w:r w:rsidR="00DE1736" w:rsidRPr="00DE1736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b</w:t>
            </w:r>
          </w:p>
        </w:tc>
      </w:tr>
      <w:tr w:rsidR="00FE3591" w:rsidRPr="00773707" w14:paraId="3CAF0F8D" w14:textId="77777777" w:rsidTr="00FE3591">
        <w:trPr>
          <w:gridAfter w:val="1"/>
          <w:wAfter w:w="170" w:type="dxa"/>
          <w:cantSplit/>
        </w:trPr>
        <w:tc>
          <w:tcPr>
            <w:tcW w:w="279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3756EAC6" w14:textId="77777777" w:rsidR="00FE3591" w:rsidRPr="007737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C797C9B" w14:textId="77777777" w:rsidR="00FE3591" w:rsidRPr="007737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3707">
              <w:rPr>
                <w:rFonts w:ascii="Arial" w:hAnsi="Arial" w:cs="Arial"/>
                <w:color w:val="000000"/>
                <w:sz w:val="18"/>
                <w:szCs w:val="18"/>
              </w:rPr>
              <w:t>Частота</w:t>
            </w:r>
          </w:p>
        </w:tc>
        <w:tc>
          <w:tcPr>
            <w:tcW w:w="1184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BAE1581" w14:textId="77777777" w:rsidR="00FE3591" w:rsidRPr="007737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3707">
              <w:rPr>
                <w:rFonts w:ascii="Arial" w:hAnsi="Arial" w:cs="Arial"/>
                <w:color w:val="000000"/>
                <w:sz w:val="18"/>
                <w:szCs w:val="18"/>
              </w:rPr>
              <w:t>Проценты</w:t>
            </w:r>
          </w:p>
        </w:tc>
        <w:tc>
          <w:tcPr>
            <w:tcW w:w="1476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07BF5D7" w14:textId="77777777" w:rsidR="00FE3591" w:rsidRPr="007737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3707">
              <w:rPr>
                <w:rFonts w:ascii="Arial" w:hAnsi="Arial" w:cs="Arial"/>
                <w:color w:val="000000"/>
                <w:sz w:val="18"/>
                <w:szCs w:val="18"/>
              </w:rPr>
              <w:t>Валидный процент</w:t>
            </w:r>
          </w:p>
        </w:tc>
        <w:tc>
          <w:tcPr>
            <w:tcW w:w="1476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E931C3D" w14:textId="77777777" w:rsidR="00FE3591" w:rsidRPr="007737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3707">
              <w:rPr>
                <w:rFonts w:ascii="Arial" w:hAnsi="Arial" w:cs="Arial"/>
                <w:color w:val="000000"/>
                <w:sz w:val="18"/>
                <w:szCs w:val="18"/>
              </w:rPr>
              <w:t>Накопленный процент</w:t>
            </w:r>
          </w:p>
        </w:tc>
      </w:tr>
      <w:tr w:rsidR="00FE3591" w:rsidRPr="00773707" w14:paraId="3E340155" w14:textId="77777777" w:rsidTr="00FE3591">
        <w:trPr>
          <w:gridAfter w:val="1"/>
          <w:wAfter w:w="170" w:type="dxa"/>
          <w:cantSplit/>
        </w:trPr>
        <w:tc>
          <w:tcPr>
            <w:tcW w:w="119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2F46153" w14:textId="77777777" w:rsidR="00FE3591" w:rsidRPr="007737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3707">
              <w:rPr>
                <w:rFonts w:ascii="Arial" w:hAnsi="Arial" w:cs="Arial"/>
                <w:color w:val="000000"/>
                <w:sz w:val="18"/>
                <w:szCs w:val="18"/>
              </w:rPr>
              <w:t>Валидные</w:t>
            </w:r>
          </w:p>
        </w:tc>
        <w:tc>
          <w:tcPr>
            <w:tcW w:w="1598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4468379" w14:textId="77777777" w:rsidR="00FE3591" w:rsidRPr="007737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3707">
              <w:rPr>
                <w:rFonts w:ascii="Arial" w:hAnsi="Arial" w:cs="Arial"/>
                <w:color w:val="000000"/>
                <w:sz w:val="18"/>
                <w:szCs w:val="18"/>
              </w:rPr>
              <w:t xml:space="preserve">100+ млн </w:t>
            </w:r>
            <w:proofErr w:type="spellStart"/>
            <w:r w:rsidRPr="00773707">
              <w:rPr>
                <w:rFonts w:ascii="Arial" w:hAnsi="Arial" w:cs="Arial"/>
                <w:color w:val="000000"/>
                <w:sz w:val="18"/>
                <w:szCs w:val="18"/>
              </w:rPr>
              <w:t>долл</w:t>
            </w:r>
            <w:proofErr w:type="spellEnd"/>
          </w:p>
        </w:tc>
        <w:tc>
          <w:tcPr>
            <w:tcW w:w="103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02E7605" w14:textId="77777777" w:rsidR="00FE3591" w:rsidRPr="007737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3707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84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1729F71" w14:textId="77777777" w:rsidR="00FE3591" w:rsidRPr="007737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3707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476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55B952E" w14:textId="77777777" w:rsidR="00FE3591" w:rsidRPr="007737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3707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476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576EB78" w14:textId="77777777" w:rsidR="00FE3591" w:rsidRPr="007737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3707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</w:tr>
      <w:tr w:rsidR="00FE3591" w:rsidRPr="00773707" w14:paraId="39C29198" w14:textId="77777777" w:rsidTr="00FE3591">
        <w:trPr>
          <w:gridAfter w:val="1"/>
          <w:wAfter w:w="170" w:type="dxa"/>
          <w:cantSplit/>
        </w:trPr>
        <w:tc>
          <w:tcPr>
            <w:tcW w:w="79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3F032" w14:textId="77777777" w:rsidR="00FE3591" w:rsidRPr="00773707" w:rsidRDefault="00DE1736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</w:t>
            </w:r>
            <w:r w:rsidR="00FE3591" w:rsidRPr="00773707">
              <w:rPr>
                <w:rFonts w:ascii="Arial" w:hAnsi="Arial" w:cs="Arial"/>
                <w:color w:val="000000"/>
                <w:sz w:val="18"/>
                <w:szCs w:val="18"/>
              </w:rPr>
              <w:t>. Страна = Швеция</w:t>
            </w:r>
          </w:p>
        </w:tc>
      </w:tr>
      <w:tr w:rsidR="00FE3591" w:rsidRPr="00FF70C6" w14:paraId="6EF0E488" w14:textId="77777777" w:rsidTr="00FE3591">
        <w:trPr>
          <w:gridAfter w:val="1"/>
          <w:wAfter w:w="170" w:type="dxa"/>
          <w:cantSplit/>
        </w:trPr>
        <w:tc>
          <w:tcPr>
            <w:tcW w:w="79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84F8E" w14:textId="77777777" w:rsidR="00FE3591" w:rsidRPr="00DE173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591">
              <w:rPr>
                <w:rFonts w:ascii="Arial" w:hAnsi="Arial" w:cs="Arial"/>
                <w:color w:val="000000"/>
                <w:sz w:val="18"/>
                <w:szCs w:val="18"/>
              </w:rPr>
              <w:t>Инвестиции в стартапы по категориям</w:t>
            </w:r>
            <w:r w:rsidR="00DE1736" w:rsidRPr="00DE1736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c</w:t>
            </w:r>
          </w:p>
        </w:tc>
      </w:tr>
      <w:tr w:rsidR="00FE3591" w:rsidRPr="00FF70C6" w14:paraId="38FBC8EF" w14:textId="77777777" w:rsidTr="00FE3591">
        <w:trPr>
          <w:cantSplit/>
        </w:trPr>
        <w:tc>
          <w:tcPr>
            <w:tcW w:w="296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2A7C2F9E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93B7DC3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F70C6">
              <w:rPr>
                <w:rFonts w:ascii="Arial" w:hAnsi="Arial" w:cs="Arial"/>
                <w:color w:val="000000"/>
                <w:sz w:val="18"/>
                <w:szCs w:val="18"/>
              </w:rPr>
              <w:t>Частота</w:t>
            </w:r>
          </w:p>
        </w:tc>
        <w:tc>
          <w:tcPr>
            <w:tcW w:w="1184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A5498F9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F70C6">
              <w:rPr>
                <w:rFonts w:ascii="Arial" w:hAnsi="Arial" w:cs="Arial"/>
                <w:color w:val="000000"/>
                <w:sz w:val="18"/>
                <w:szCs w:val="18"/>
              </w:rPr>
              <w:t>Проценты</w:t>
            </w:r>
          </w:p>
        </w:tc>
        <w:tc>
          <w:tcPr>
            <w:tcW w:w="1476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A7D8178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F70C6">
              <w:rPr>
                <w:rFonts w:ascii="Arial" w:hAnsi="Arial" w:cs="Arial"/>
                <w:color w:val="000000"/>
                <w:sz w:val="18"/>
                <w:szCs w:val="18"/>
              </w:rPr>
              <w:t>Валидный процент</w:t>
            </w:r>
          </w:p>
        </w:tc>
        <w:tc>
          <w:tcPr>
            <w:tcW w:w="1477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BDC998E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F70C6">
              <w:rPr>
                <w:rFonts w:ascii="Arial" w:hAnsi="Arial" w:cs="Arial"/>
                <w:color w:val="000000"/>
                <w:sz w:val="18"/>
                <w:szCs w:val="18"/>
              </w:rPr>
              <w:t>Накопленный процент</w:t>
            </w:r>
          </w:p>
        </w:tc>
      </w:tr>
      <w:tr w:rsidR="00FE3591" w:rsidRPr="00FF70C6" w14:paraId="4B819F5A" w14:textId="77777777" w:rsidTr="00FE3591">
        <w:trPr>
          <w:cantSplit/>
        </w:trPr>
        <w:tc>
          <w:tcPr>
            <w:tcW w:w="119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E584554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F70C6">
              <w:rPr>
                <w:rFonts w:ascii="Arial" w:hAnsi="Arial" w:cs="Arial"/>
                <w:color w:val="000000"/>
                <w:sz w:val="18"/>
                <w:szCs w:val="18"/>
              </w:rPr>
              <w:t>Валидные</w:t>
            </w:r>
          </w:p>
        </w:tc>
        <w:tc>
          <w:tcPr>
            <w:tcW w:w="1767" w:type="dxa"/>
            <w:gridSpan w:val="2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686C74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F70C6">
              <w:rPr>
                <w:rFonts w:ascii="Arial" w:hAnsi="Arial" w:cs="Arial"/>
                <w:color w:val="000000"/>
                <w:sz w:val="18"/>
                <w:szCs w:val="18"/>
              </w:rPr>
              <w:t xml:space="preserve">до 50 млн </w:t>
            </w:r>
            <w:proofErr w:type="spellStart"/>
            <w:r w:rsidRPr="00FF70C6">
              <w:rPr>
                <w:rFonts w:ascii="Arial" w:hAnsi="Arial" w:cs="Arial"/>
                <w:color w:val="000000"/>
                <w:sz w:val="18"/>
                <w:szCs w:val="18"/>
              </w:rPr>
              <w:t>долл</w:t>
            </w:r>
            <w:proofErr w:type="spellEnd"/>
          </w:p>
        </w:tc>
        <w:tc>
          <w:tcPr>
            <w:tcW w:w="1030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1555D0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F70C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84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D89E4D5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F70C6">
              <w:rPr>
                <w:rFonts w:ascii="Arial" w:hAnsi="Arial" w:cs="Arial"/>
                <w:color w:val="000000"/>
                <w:sz w:val="18"/>
                <w:szCs w:val="18"/>
              </w:rPr>
              <w:t>20,0</w:t>
            </w:r>
          </w:p>
        </w:tc>
        <w:tc>
          <w:tcPr>
            <w:tcW w:w="1476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E1C71CD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F70C6">
              <w:rPr>
                <w:rFonts w:ascii="Arial" w:hAnsi="Arial" w:cs="Arial"/>
                <w:color w:val="000000"/>
                <w:sz w:val="18"/>
                <w:szCs w:val="18"/>
              </w:rPr>
              <w:t>20,0</w:t>
            </w:r>
          </w:p>
        </w:tc>
        <w:tc>
          <w:tcPr>
            <w:tcW w:w="1477" w:type="dxa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46CF0B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F70C6">
              <w:rPr>
                <w:rFonts w:ascii="Arial" w:hAnsi="Arial" w:cs="Arial"/>
                <w:color w:val="000000"/>
                <w:sz w:val="18"/>
                <w:szCs w:val="18"/>
              </w:rPr>
              <w:t>20,0</w:t>
            </w:r>
          </w:p>
        </w:tc>
      </w:tr>
      <w:tr w:rsidR="00FE3591" w:rsidRPr="00FF70C6" w14:paraId="06D842F5" w14:textId="77777777" w:rsidTr="00FE3591">
        <w:trPr>
          <w:cantSplit/>
        </w:trPr>
        <w:tc>
          <w:tcPr>
            <w:tcW w:w="119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6CB2F0A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67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D86952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F70C6">
              <w:rPr>
                <w:rFonts w:ascii="Arial" w:hAnsi="Arial" w:cs="Arial"/>
                <w:color w:val="000000"/>
                <w:sz w:val="18"/>
                <w:szCs w:val="18"/>
              </w:rPr>
              <w:t xml:space="preserve">50-100 млн </w:t>
            </w:r>
            <w:proofErr w:type="spellStart"/>
            <w:r w:rsidRPr="00FF70C6">
              <w:rPr>
                <w:rFonts w:ascii="Arial" w:hAnsi="Arial" w:cs="Arial"/>
                <w:color w:val="000000"/>
                <w:sz w:val="18"/>
                <w:szCs w:val="18"/>
              </w:rPr>
              <w:t>долл</w:t>
            </w:r>
            <w:proofErr w:type="spellEnd"/>
          </w:p>
        </w:tc>
        <w:tc>
          <w:tcPr>
            <w:tcW w:w="1030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4D7510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F70C6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84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90AD79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F70C6">
              <w:rPr>
                <w:rFonts w:ascii="Arial" w:hAnsi="Arial" w:cs="Arial"/>
                <w:color w:val="000000"/>
                <w:sz w:val="18"/>
                <w:szCs w:val="18"/>
              </w:rPr>
              <w:t>60,0</w:t>
            </w: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5BB972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F70C6">
              <w:rPr>
                <w:rFonts w:ascii="Arial" w:hAnsi="Arial" w:cs="Arial"/>
                <w:color w:val="000000"/>
                <w:sz w:val="18"/>
                <w:szCs w:val="18"/>
              </w:rPr>
              <w:t>60,0</w:t>
            </w:r>
          </w:p>
        </w:tc>
        <w:tc>
          <w:tcPr>
            <w:tcW w:w="1477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E636FC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F70C6">
              <w:rPr>
                <w:rFonts w:ascii="Arial" w:hAnsi="Arial" w:cs="Arial"/>
                <w:color w:val="000000"/>
                <w:sz w:val="18"/>
                <w:szCs w:val="18"/>
              </w:rPr>
              <w:t>80,0</w:t>
            </w:r>
          </w:p>
        </w:tc>
      </w:tr>
      <w:tr w:rsidR="00FE3591" w:rsidRPr="00FF70C6" w14:paraId="4DAFD2C3" w14:textId="77777777" w:rsidTr="00FE3591">
        <w:trPr>
          <w:cantSplit/>
        </w:trPr>
        <w:tc>
          <w:tcPr>
            <w:tcW w:w="119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18D6993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67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180B90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F70C6">
              <w:rPr>
                <w:rFonts w:ascii="Arial" w:hAnsi="Arial" w:cs="Arial"/>
                <w:color w:val="000000"/>
                <w:sz w:val="18"/>
                <w:szCs w:val="18"/>
              </w:rPr>
              <w:t xml:space="preserve">100+ млн </w:t>
            </w:r>
            <w:proofErr w:type="spellStart"/>
            <w:r w:rsidRPr="00FF70C6">
              <w:rPr>
                <w:rFonts w:ascii="Arial" w:hAnsi="Arial" w:cs="Arial"/>
                <w:color w:val="000000"/>
                <w:sz w:val="18"/>
                <w:szCs w:val="18"/>
              </w:rPr>
              <w:t>долл</w:t>
            </w:r>
            <w:proofErr w:type="spellEnd"/>
          </w:p>
        </w:tc>
        <w:tc>
          <w:tcPr>
            <w:tcW w:w="1030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806103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F70C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84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1697CB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F70C6">
              <w:rPr>
                <w:rFonts w:ascii="Arial" w:hAnsi="Arial" w:cs="Arial"/>
                <w:color w:val="000000"/>
                <w:sz w:val="18"/>
                <w:szCs w:val="18"/>
              </w:rPr>
              <w:t>20,0</w:t>
            </w: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CA0936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F70C6">
              <w:rPr>
                <w:rFonts w:ascii="Arial" w:hAnsi="Arial" w:cs="Arial"/>
                <w:color w:val="000000"/>
                <w:sz w:val="18"/>
                <w:szCs w:val="18"/>
              </w:rPr>
              <w:t>20,0</w:t>
            </w:r>
          </w:p>
        </w:tc>
        <w:tc>
          <w:tcPr>
            <w:tcW w:w="1477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D01483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F70C6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</w:tr>
      <w:tr w:rsidR="00FE3591" w:rsidRPr="00FF70C6" w14:paraId="76DAF0F5" w14:textId="77777777" w:rsidTr="00FE3591">
        <w:trPr>
          <w:cantSplit/>
        </w:trPr>
        <w:tc>
          <w:tcPr>
            <w:tcW w:w="119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D354F44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12EC809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F70C6">
              <w:rPr>
                <w:rFonts w:ascii="Arial" w:hAnsi="Arial" w:cs="Arial"/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103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ABCBD23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F70C6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84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5B0C692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F70C6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476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9BECD98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F70C6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477" w:type="dxa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7E2120B" w14:textId="77777777" w:rsidR="00FE3591" w:rsidRPr="00FF70C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591" w:rsidRPr="00FF70C6" w14:paraId="5F6AF058" w14:textId="77777777" w:rsidTr="00FE3591">
        <w:trPr>
          <w:cantSplit/>
        </w:trPr>
        <w:tc>
          <w:tcPr>
            <w:tcW w:w="81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AD35A" w14:textId="77777777" w:rsidR="00FE3591" w:rsidRPr="00FF70C6" w:rsidRDefault="00DE1736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</w:t>
            </w:r>
            <w:r w:rsidR="00FE3591" w:rsidRPr="00FF70C6">
              <w:rPr>
                <w:rFonts w:ascii="Arial" w:hAnsi="Arial" w:cs="Arial"/>
                <w:color w:val="000000"/>
                <w:sz w:val="18"/>
                <w:szCs w:val="18"/>
              </w:rPr>
              <w:t>. Страна = Дания</w:t>
            </w:r>
          </w:p>
        </w:tc>
      </w:tr>
      <w:tr w:rsidR="00FE3591" w:rsidRPr="00040407" w14:paraId="43D1F5AF" w14:textId="77777777" w:rsidTr="00FE3591">
        <w:trPr>
          <w:cantSplit/>
        </w:trPr>
        <w:tc>
          <w:tcPr>
            <w:tcW w:w="81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35934" w14:textId="77777777" w:rsidR="00FE3591" w:rsidRPr="00DE1736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3591">
              <w:rPr>
                <w:rFonts w:ascii="Arial" w:hAnsi="Arial" w:cs="Arial"/>
                <w:color w:val="000000"/>
                <w:sz w:val="18"/>
                <w:szCs w:val="18"/>
              </w:rPr>
              <w:t>Инвестиции в стартапы по категориям</w:t>
            </w:r>
            <w:r w:rsidR="00DE1736" w:rsidRPr="00DE1736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d</w:t>
            </w:r>
          </w:p>
        </w:tc>
      </w:tr>
      <w:tr w:rsidR="00FE3591" w:rsidRPr="00040407" w14:paraId="3202D32B" w14:textId="77777777" w:rsidTr="00FE3591">
        <w:trPr>
          <w:cantSplit/>
        </w:trPr>
        <w:tc>
          <w:tcPr>
            <w:tcW w:w="296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68CB1396" w14:textId="77777777" w:rsidR="00FE3591" w:rsidRPr="000404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1BB599A" w14:textId="77777777" w:rsidR="00FE3591" w:rsidRPr="000404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0407">
              <w:rPr>
                <w:rFonts w:ascii="Arial" w:hAnsi="Arial" w:cs="Arial"/>
                <w:color w:val="000000"/>
                <w:sz w:val="18"/>
                <w:szCs w:val="18"/>
              </w:rPr>
              <w:t>Частота</w:t>
            </w:r>
          </w:p>
        </w:tc>
        <w:tc>
          <w:tcPr>
            <w:tcW w:w="1184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B69494E" w14:textId="77777777" w:rsidR="00FE3591" w:rsidRPr="000404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0407">
              <w:rPr>
                <w:rFonts w:ascii="Arial" w:hAnsi="Arial" w:cs="Arial"/>
                <w:color w:val="000000"/>
                <w:sz w:val="18"/>
                <w:szCs w:val="18"/>
              </w:rPr>
              <w:t>Проценты</w:t>
            </w:r>
          </w:p>
        </w:tc>
        <w:tc>
          <w:tcPr>
            <w:tcW w:w="1476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12DFF71" w14:textId="77777777" w:rsidR="00FE3591" w:rsidRPr="000404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0407">
              <w:rPr>
                <w:rFonts w:ascii="Arial" w:hAnsi="Arial" w:cs="Arial"/>
                <w:color w:val="000000"/>
                <w:sz w:val="18"/>
                <w:szCs w:val="18"/>
              </w:rPr>
              <w:t>Валидный процент</w:t>
            </w:r>
          </w:p>
        </w:tc>
        <w:tc>
          <w:tcPr>
            <w:tcW w:w="1476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CAD5E2D" w14:textId="77777777" w:rsidR="00FE3591" w:rsidRPr="000404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0407">
              <w:rPr>
                <w:rFonts w:ascii="Arial" w:hAnsi="Arial" w:cs="Arial"/>
                <w:color w:val="000000"/>
                <w:sz w:val="18"/>
                <w:szCs w:val="18"/>
              </w:rPr>
              <w:t>Накопленный процент</w:t>
            </w:r>
          </w:p>
        </w:tc>
      </w:tr>
      <w:tr w:rsidR="00FE3591" w:rsidRPr="00040407" w14:paraId="2DFFB9D0" w14:textId="77777777" w:rsidTr="00FE3591">
        <w:trPr>
          <w:cantSplit/>
        </w:trPr>
        <w:tc>
          <w:tcPr>
            <w:tcW w:w="119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16BE4E6" w14:textId="77777777" w:rsidR="00FE3591" w:rsidRPr="000404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0407">
              <w:rPr>
                <w:rFonts w:ascii="Arial" w:hAnsi="Arial" w:cs="Arial"/>
                <w:color w:val="000000"/>
                <w:sz w:val="18"/>
                <w:szCs w:val="18"/>
              </w:rPr>
              <w:t>Валидные</w:t>
            </w:r>
          </w:p>
        </w:tc>
        <w:tc>
          <w:tcPr>
            <w:tcW w:w="1767" w:type="dxa"/>
            <w:gridSpan w:val="2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3921F3" w14:textId="77777777" w:rsidR="00FE3591" w:rsidRPr="000404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0407">
              <w:rPr>
                <w:rFonts w:ascii="Arial" w:hAnsi="Arial" w:cs="Arial"/>
                <w:color w:val="000000"/>
                <w:sz w:val="18"/>
                <w:szCs w:val="18"/>
              </w:rPr>
              <w:t xml:space="preserve">50-100 млн </w:t>
            </w:r>
            <w:proofErr w:type="spellStart"/>
            <w:r w:rsidRPr="00040407">
              <w:rPr>
                <w:rFonts w:ascii="Arial" w:hAnsi="Arial" w:cs="Arial"/>
                <w:color w:val="000000"/>
                <w:sz w:val="18"/>
                <w:szCs w:val="18"/>
              </w:rPr>
              <w:t>долл</w:t>
            </w:r>
            <w:proofErr w:type="spellEnd"/>
          </w:p>
        </w:tc>
        <w:tc>
          <w:tcPr>
            <w:tcW w:w="1030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D82B51" w14:textId="77777777" w:rsidR="00FE3591" w:rsidRPr="000404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0407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84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D027335" w14:textId="77777777" w:rsidR="00FE3591" w:rsidRPr="000404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0407">
              <w:rPr>
                <w:rFonts w:ascii="Arial" w:hAnsi="Arial" w:cs="Arial"/>
                <w:color w:val="000000"/>
                <w:sz w:val="18"/>
                <w:szCs w:val="18"/>
              </w:rPr>
              <w:t>70,0</w:t>
            </w:r>
          </w:p>
        </w:tc>
        <w:tc>
          <w:tcPr>
            <w:tcW w:w="1476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20A753F" w14:textId="77777777" w:rsidR="00FE3591" w:rsidRPr="000404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0407">
              <w:rPr>
                <w:rFonts w:ascii="Arial" w:hAnsi="Arial" w:cs="Arial"/>
                <w:color w:val="000000"/>
                <w:sz w:val="18"/>
                <w:szCs w:val="18"/>
              </w:rPr>
              <w:t>70,0</w:t>
            </w:r>
          </w:p>
        </w:tc>
        <w:tc>
          <w:tcPr>
            <w:tcW w:w="1476" w:type="dxa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40C62E" w14:textId="77777777" w:rsidR="00FE3591" w:rsidRPr="000404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0407">
              <w:rPr>
                <w:rFonts w:ascii="Arial" w:hAnsi="Arial" w:cs="Arial"/>
                <w:color w:val="000000"/>
                <w:sz w:val="18"/>
                <w:szCs w:val="18"/>
              </w:rPr>
              <w:t>70,0</w:t>
            </w:r>
          </w:p>
        </w:tc>
      </w:tr>
      <w:tr w:rsidR="00FE3591" w:rsidRPr="00040407" w14:paraId="4ACBB790" w14:textId="77777777" w:rsidTr="00FE3591">
        <w:trPr>
          <w:cantSplit/>
        </w:trPr>
        <w:tc>
          <w:tcPr>
            <w:tcW w:w="119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6883801" w14:textId="77777777" w:rsidR="00FE3591" w:rsidRPr="000404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67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D9573A" w14:textId="77777777" w:rsidR="00FE3591" w:rsidRPr="000404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0407">
              <w:rPr>
                <w:rFonts w:ascii="Arial" w:hAnsi="Arial" w:cs="Arial"/>
                <w:color w:val="000000"/>
                <w:sz w:val="18"/>
                <w:szCs w:val="18"/>
              </w:rPr>
              <w:t xml:space="preserve">100+ млн </w:t>
            </w:r>
            <w:proofErr w:type="spellStart"/>
            <w:r w:rsidRPr="00040407">
              <w:rPr>
                <w:rFonts w:ascii="Arial" w:hAnsi="Arial" w:cs="Arial"/>
                <w:color w:val="000000"/>
                <w:sz w:val="18"/>
                <w:szCs w:val="18"/>
              </w:rPr>
              <w:t>долл</w:t>
            </w:r>
            <w:proofErr w:type="spellEnd"/>
          </w:p>
        </w:tc>
        <w:tc>
          <w:tcPr>
            <w:tcW w:w="1030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F4363F" w14:textId="77777777" w:rsidR="00FE3591" w:rsidRPr="000404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0407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84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D1D133" w14:textId="77777777" w:rsidR="00FE3591" w:rsidRPr="000404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0407">
              <w:rPr>
                <w:rFonts w:ascii="Arial" w:hAnsi="Arial" w:cs="Arial"/>
                <w:color w:val="000000"/>
                <w:sz w:val="18"/>
                <w:szCs w:val="18"/>
              </w:rPr>
              <w:t>30,0</w:t>
            </w: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5361D9" w14:textId="77777777" w:rsidR="00FE3591" w:rsidRPr="000404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0407">
              <w:rPr>
                <w:rFonts w:ascii="Arial" w:hAnsi="Arial" w:cs="Arial"/>
                <w:color w:val="000000"/>
                <w:sz w:val="18"/>
                <w:szCs w:val="18"/>
              </w:rPr>
              <w:t>30,0</w:t>
            </w:r>
          </w:p>
        </w:tc>
        <w:tc>
          <w:tcPr>
            <w:tcW w:w="1476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DDB73E" w14:textId="77777777" w:rsidR="00FE3591" w:rsidRPr="000404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0407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</w:tr>
      <w:tr w:rsidR="00FE3591" w:rsidRPr="00040407" w14:paraId="1142A1A9" w14:textId="77777777" w:rsidTr="00FE3591">
        <w:trPr>
          <w:cantSplit/>
        </w:trPr>
        <w:tc>
          <w:tcPr>
            <w:tcW w:w="119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44DFAD7" w14:textId="77777777" w:rsidR="00FE3591" w:rsidRPr="000404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E9CB052" w14:textId="77777777" w:rsidR="00FE3591" w:rsidRPr="000404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0407">
              <w:rPr>
                <w:rFonts w:ascii="Arial" w:hAnsi="Arial" w:cs="Arial"/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103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C2505B2" w14:textId="77777777" w:rsidR="00FE3591" w:rsidRPr="000404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0407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84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3583137" w14:textId="77777777" w:rsidR="00FE3591" w:rsidRPr="000404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0407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476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964E39E" w14:textId="77777777" w:rsidR="00FE3591" w:rsidRPr="000404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0407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476" w:type="dxa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E7D2008" w14:textId="77777777" w:rsidR="00FE3591" w:rsidRPr="00040407" w:rsidRDefault="00FE3591" w:rsidP="000F3F9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591" w:rsidRPr="00040407" w14:paraId="7982FA04" w14:textId="77777777" w:rsidTr="00FE3591">
        <w:trPr>
          <w:cantSplit/>
        </w:trPr>
        <w:tc>
          <w:tcPr>
            <w:tcW w:w="81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08033" w14:textId="77777777" w:rsidR="00FE3591" w:rsidRPr="00040407" w:rsidRDefault="00DE1736" w:rsidP="000F3F90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</w:t>
            </w:r>
            <w:r w:rsidR="00FE3591" w:rsidRPr="00040407">
              <w:rPr>
                <w:rFonts w:ascii="Arial" w:hAnsi="Arial" w:cs="Arial"/>
                <w:color w:val="000000"/>
                <w:sz w:val="18"/>
                <w:szCs w:val="18"/>
              </w:rPr>
              <w:t>. Страна = Финляндия</w:t>
            </w:r>
          </w:p>
        </w:tc>
      </w:tr>
    </w:tbl>
    <w:p w14:paraId="30BE7553" w14:textId="77777777" w:rsidR="00FE3591" w:rsidRPr="00BD5AE3" w:rsidRDefault="00FE3591" w:rsidP="00A3188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5A7AD06" w14:textId="77777777" w:rsidR="00B8770A" w:rsidRDefault="00D3603F" w:rsidP="00624C86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основании полученных результатов можно привести к выводу, что наиболее оживлённая и при этом стабильн</w:t>
      </w:r>
      <w:r w:rsidR="00A7102F">
        <w:rPr>
          <w:rFonts w:ascii="Times New Roman" w:hAnsi="Times New Roman" w:cs="Times New Roman"/>
          <w:sz w:val="28"/>
        </w:rPr>
        <w:t>о высокая</w:t>
      </w:r>
      <w:r>
        <w:rPr>
          <w:rFonts w:ascii="Times New Roman" w:hAnsi="Times New Roman" w:cs="Times New Roman"/>
          <w:sz w:val="28"/>
        </w:rPr>
        <w:t xml:space="preserve"> венчурная активность на рынке компаний-стартапов</w:t>
      </w:r>
      <w:r w:rsidR="00656805">
        <w:rPr>
          <w:rFonts w:ascii="Times New Roman" w:hAnsi="Times New Roman" w:cs="Times New Roman"/>
          <w:sz w:val="28"/>
        </w:rPr>
        <w:t xml:space="preserve"> в 10-е</w:t>
      </w:r>
      <w:r w:rsidR="00A7102F">
        <w:rPr>
          <w:rFonts w:ascii="Times New Roman" w:hAnsi="Times New Roman" w:cs="Times New Roman"/>
          <w:sz w:val="28"/>
        </w:rPr>
        <w:t xml:space="preserve"> наблюда</w:t>
      </w:r>
      <w:r w:rsidR="00656805">
        <w:rPr>
          <w:rFonts w:ascii="Times New Roman" w:hAnsi="Times New Roman" w:cs="Times New Roman"/>
          <w:sz w:val="28"/>
        </w:rPr>
        <w:t>ла</w:t>
      </w:r>
      <w:r w:rsidR="00A7102F">
        <w:rPr>
          <w:rFonts w:ascii="Times New Roman" w:hAnsi="Times New Roman" w:cs="Times New Roman"/>
          <w:sz w:val="28"/>
        </w:rPr>
        <w:t>с</w:t>
      </w:r>
      <w:r w:rsidR="00656805">
        <w:rPr>
          <w:rFonts w:ascii="Times New Roman" w:hAnsi="Times New Roman" w:cs="Times New Roman"/>
          <w:sz w:val="28"/>
        </w:rPr>
        <w:t>ь</w:t>
      </w:r>
      <w:r w:rsidR="00A7102F">
        <w:rPr>
          <w:rFonts w:ascii="Times New Roman" w:hAnsi="Times New Roman" w:cs="Times New Roman"/>
          <w:sz w:val="28"/>
        </w:rPr>
        <w:t xml:space="preserve"> в Швеции (ежегодно вкладывалось более 100 млн </w:t>
      </w:r>
      <w:proofErr w:type="spellStart"/>
      <w:r w:rsidR="00A7102F">
        <w:rPr>
          <w:rFonts w:ascii="Times New Roman" w:hAnsi="Times New Roman" w:cs="Times New Roman"/>
          <w:sz w:val="28"/>
        </w:rPr>
        <w:t>долл</w:t>
      </w:r>
      <w:proofErr w:type="spellEnd"/>
      <w:r w:rsidR="00A7102F">
        <w:rPr>
          <w:rFonts w:ascii="Times New Roman" w:hAnsi="Times New Roman" w:cs="Times New Roman"/>
          <w:sz w:val="28"/>
        </w:rPr>
        <w:t xml:space="preserve">), в остальных странах она имеет более </w:t>
      </w:r>
      <w:r w:rsidR="00A7102F">
        <w:rPr>
          <w:rFonts w:ascii="Times New Roman" w:hAnsi="Times New Roman" w:cs="Times New Roman"/>
          <w:sz w:val="28"/>
        </w:rPr>
        <w:lastRenderedPageBreak/>
        <w:t>у</w:t>
      </w:r>
      <w:r w:rsidR="00656805">
        <w:rPr>
          <w:rFonts w:ascii="Times New Roman" w:hAnsi="Times New Roman" w:cs="Times New Roman"/>
          <w:sz w:val="28"/>
        </w:rPr>
        <w:t xml:space="preserve">меренный характер (50 млн </w:t>
      </w:r>
      <w:proofErr w:type="spellStart"/>
      <w:r w:rsidR="00656805">
        <w:rPr>
          <w:rFonts w:ascii="Times New Roman" w:hAnsi="Times New Roman" w:cs="Times New Roman"/>
          <w:sz w:val="28"/>
        </w:rPr>
        <w:t>долл</w:t>
      </w:r>
      <w:proofErr w:type="spellEnd"/>
      <w:r w:rsidR="00656805">
        <w:rPr>
          <w:rFonts w:ascii="Times New Roman" w:hAnsi="Times New Roman" w:cs="Times New Roman"/>
          <w:sz w:val="28"/>
        </w:rPr>
        <w:t>), при этом чуть более стабильны позиции Финляндии.</w:t>
      </w:r>
    </w:p>
    <w:p w14:paraId="5CA577AD" w14:textId="77777777" w:rsidR="008B6342" w:rsidRPr="003802DE" w:rsidRDefault="008B6342" w:rsidP="00624C86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B1964">
        <w:rPr>
          <w:rFonts w:ascii="Times New Roman" w:hAnsi="Times New Roman" w:cs="Times New Roman"/>
          <w:sz w:val="28"/>
        </w:rPr>
        <w:t>Выводы о</w:t>
      </w:r>
      <w:r w:rsidR="00B95989">
        <w:rPr>
          <w:rFonts w:ascii="Times New Roman" w:hAnsi="Times New Roman" w:cs="Times New Roman"/>
          <w:sz w:val="28"/>
        </w:rPr>
        <w:t xml:space="preserve"> средних значениях и</w:t>
      </w:r>
      <w:r w:rsidR="00BB1964">
        <w:rPr>
          <w:rFonts w:ascii="Times New Roman" w:hAnsi="Times New Roman" w:cs="Times New Roman"/>
          <w:sz w:val="28"/>
        </w:rPr>
        <w:t xml:space="preserve"> стабильности</w:t>
      </w:r>
      <w:r w:rsidR="00866774">
        <w:rPr>
          <w:rFonts w:ascii="Times New Roman" w:hAnsi="Times New Roman" w:cs="Times New Roman"/>
          <w:sz w:val="28"/>
        </w:rPr>
        <w:t xml:space="preserve"> </w:t>
      </w:r>
      <w:r w:rsidR="00BB1964">
        <w:rPr>
          <w:rFonts w:ascii="Times New Roman" w:hAnsi="Times New Roman" w:cs="Times New Roman"/>
          <w:sz w:val="28"/>
        </w:rPr>
        <w:t>суммарного годового</w:t>
      </w:r>
      <w:r w:rsidR="00B6668C">
        <w:rPr>
          <w:rFonts w:ascii="Times New Roman" w:hAnsi="Times New Roman" w:cs="Times New Roman"/>
          <w:sz w:val="28"/>
        </w:rPr>
        <w:t xml:space="preserve"> </w:t>
      </w:r>
      <w:r w:rsidR="002254D3">
        <w:rPr>
          <w:rFonts w:ascii="Times New Roman" w:hAnsi="Times New Roman" w:cs="Times New Roman"/>
          <w:sz w:val="28"/>
        </w:rPr>
        <w:t xml:space="preserve">потока венчурных инвестиций </w:t>
      </w:r>
      <w:r w:rsidR="00155DA5">
        <w:rPr>
          <w:rFonts w:ascii="Times New Roman" w:hAnsi="Times New Roman" w:cs="Times New Roman"/>
          <w:sz w:val="28"/>
        </w:rPr>
        <w:t xml:space="preserve">в 10-х </w:t>
      </w:r>
      <w:r w:rsidR="002254D3">
        <w:rPr>
          <w:rFonts w:ascii="Times New Roman" w:hAnsi="Times New Roman" w:cs="Times New Roman"/>
          <w:sz w:val="28"/>
        </w:rPr>
        <w:t xml:space="preserve">можно сделать, сопоставив </w:t>
      </w:r>
      <w:r w:rsidR="00B95989">
        <w:rPr>
          <w:rFonts w:ascii="Times New Roman" w:hAnsi="Times New Roman" w:cs="Times New Roman"/>
          <w:sz w:val="28"/>
        </w:rPr>
        <w:t>средние и медианные показатели</w:t>
      </w:r>
      <w:r w:rsidR="002D0894">
        <w:rPr>
          <w:rFonts w:ascii="Times New Roman" w:hAnsi="Times New Roman" w:cs="Times New Roman"/>
          <w:sz w:val="28"/>
        </w:rPr>
        <w:t xml:space="preserve">, </w:t>
      </w:r>
      <w:r w:rsidR="00B95989">
        <w:rPr>
          <w:rFonts w:ascii="Times New Roman" w:hAnsi="Times New Roman" w:cs="Times New Roman"/>
          <w:sz w:val="28"/>
        </w:rPr>
        <w:t>а также среднеквадратическое отклонение (</w:t>
      </w:r>
      <w:r w:rsidR="009C6FE9">
        <w:rPr>
          <w:rFonts w:ascii="Times New Roman" w:hAnsi="Times New Roman" w:cs="Times New Roman"/>
          <w:sz w:val="28"/>
        </w:rPr>
        <w:t>Таблица 5</w:t>
      </w:r>
      <w:r w:rsidR="00B95989">
        <w:rPr>
          <w:rFonts w:ascii="Times New Roman" w:hAnsi="Times New Roman" w:cs="Times New Roman"/>
          <w:sz w:val="28"/>
        </w:rPr>
        <w:t>).</w:t>
      </w:r>
    </w:p>
    <w:p w14:paraId="52ED000A" w14:textId="77777777" w:rsidR="00E448BC" w:rsidRPr="00AD6C1F" w:rsidRDefault="00E448BC" w:rsidP="00A3188E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9275174" w14:textId="77777777" w:rsidR="009C6FE9" w:rsidRDefault="009C6FE9" w:rsidP="009C6FE9">
      <w:pPr>
        <w:suppressAutoHyphens w:val="0"/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5.</w:t>
      </w:r>
    </w:p>
    <w:p w14:paraId="246CB678" w14:textId="77777777" w:rsidR="00D55711" w:rsidRDefault="00D55711" w:rsidP="002D0894">
      <w:pPr>
        <w:autoSpaceDE w:val="0"/>
        <w:autoSpaceDN w:val="0"/>
        <w:adjustRightInd w:val="0"/>
        <w:spacing w:after="0" w:line="276" w:lineRule="auto"/>
        <w:ind w:left="60" w:right="60"/>
        <w:rPr>
          <w:rFonts w:ascii="Arial" w:hAnsi="Arial" w:cs="Arial"/>
          <w:bCs/>
          <w:color w:val="000000"/>
          <w:sz w:val="18"/>
          <w:szCs w:val="18"/>
        </w:rPr>
        <w:sectPr w:rsidR="00D55711" w:rsidSect="00BE782E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W w:w="3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5"/>
        <w:gridCol w:w="1571"/>
        <w:gridCol w:w="1225"/>
      </w:tblGrid>
      <w:tr w:rsidR="009C6FE9" w:rsidRPr="00266DCE" w14:paraId="4CDA0513" w14:textId="77777777" w:rsidTr="009C6FE9">
        <w:trPr>
          <w:cantSplit/>
        </w:trPr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A0DF93" w14:textId="77777777" w:rsidR="00855C15" w:rsidRDefault="00855C15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  <w:p w14:paraId="2BADFD45" w14:textId="77777777" w:rsidR="009C6FE9" w:rsidRPr="009C6FE9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C6FE9">
              <w:rPr>
                <w:rFonts w:ascii="Arial" w:hAnsi="Arial" w:cs="Arial"/>
                <w:bCs/>
                <w:color w:val="000000"/>
                <w:sz w:val="18"/>
                <w:szCs w:val="18"/>
              </w:rPr>
              <w:t>Статистика</w:t>
            </w:r>
            <w:r w:rsidRPr="009C6FE9">
              <w:rPr>
                <w:rFonts w:ascii="Arial" w:hAnsi="Arial" w:cs="Arial"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9C6FE9" w:rsidRPr="00266DCE" w14:paraId="4DD42E6D" w14:textId="77777777" w:rsidTr="009C6FE9">
        <w:trPr>
          <w:cantSplit/>
        </w:trPr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3018EE7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Суммарный объём венчурных инвестиций, млн долл.  </w:t>
            </w:r>
          </w:p>
        </w:tc>
      </w:tr>
      <w:tr w:rsidR="009C6FE9" w:rsidRPr="00266DCE" w14:paraId="0F2B64F7" w14:textId="77777777" w:rsidTr="009C6FE9">
        <w:trPr>
          <w:cantSplit/>
        </w:trPr>
        <w:tc>
          <w:tcPr>
            <w:tcW w:w="75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05E4C3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7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25EC86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Валидные</w:t>
            </w:r>
          </w:p>
        </w:tc>
        <w:tc>
          <w:tcPr>
            <w:tcW w:w="122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EFA8CC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9C6FE9" w:rsidRPr="00266DCE" w14:paraId="10AC7B4A" w14:textId="77777777" w:rsidTr="009C6FE9">
        <w:trPr>
          <w:cantSplit/>
        </w:trPr>
        <w:tc>
          <w:tcPr>
            <w:tcW w:w="7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CD1CD1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DD74388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Пропущенные</w:t>
            </w:r>
          </w:p>
        </w:tc>
        <w:tc>
          <w:tcPr>
            <w:tcW w:w="12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46AECA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9C6FE9" w:rsidRPr="00266DCE" w14:paraId="2FCFFE9C" w14:textId="77777777" w:rsidTr="009C6FE9">
        <w:trPr>
          <w:cantSplit/>
        </w:trPr>
        <w:tc>
          <w:tcPr>
            <w:tcW w:w="232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027BC2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Среднее</w:t>
            </w:r>
          </w:p>
        </w:tc>
        <w:tc>
          <w:tcPr>
            <w:tcW w:w="12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528BF5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129,24510</w:t>
            </w:r>
          </w:p>
        </w:tc>
      </w:tr>
      <w:tr w:rsidR="009C6FE9" w:rsidRPr="00266DCE" w14:paraId="0A163C30" w14:textId="77777777" w:rsidTr="009C6FE9">
        <w:trPr>
          <w:cantSplit/>
        </w:trPr>
        <w:tc>
          <w:tcPr>
            <w:tcW w:w="232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6780E2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Медиана</w:t>
            </w:r>
          </w:p>
        </w:tc>
        <w:tc>
          <w:tcPr>
            <w:tcW w:w="12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C8529D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115,79350</w:t>
            </w:r>
          </w:p>
        </w:tc>
      </w:tr>
      <w:tr w:rsidR="009C6FE9" w:rsidRPr="00266DCE" w14:paraId="07244499" w14:textId="77777777" w:rsidTr="009C6FE9">
        <w:trPr>
          <w:cantSplit/>
        </w:trPr>
        <w:tc>
          <w:tcPr>
            <w:tcW w:w="232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0FA753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Минимум</w:t>
            </w:r>
          </w:p>
        </w:tc>
        <w:tc>
          <w:tcPr>
            <w:tcW w:w="12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92E33B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72,121</w:t>
            </w:r>
          </w:p>
        </w:tc>
      </w:tr>
      <w:tr w:rsidR="009C6FE9" w:rsidRPr="00266DCE" w14:paraId="7FFF8B80" w14:textId="77777777" w:rsidTr="009C6FE9">
        <w:trPr>
          <w:cantSplit/>
        </w:trPr>
        <w:tc>
          <w:tcPr>
            <w:tcW w:w="2326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568664B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Максимум</w:t>
            </w:r>
          </w:p>
        </w:tc>
        <w:tc>
          <w:tcPr>
            <w:tcW w:w="122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1291460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226,548</w:t>
            </w:r>
          </w:p>
        </w:tc>
      </w:tr>
      <w:tr w:rsidR="002D0894" w:rsidRPr="00266DCE" w14:paraId="7881941C" w14:textId="77777777" w:rsidTr="009C6FE9">
        <w:trPr>
          <w:cantSplit/>
        </w:trPr>
        <w:tc>
          <w:tcPr>
            <w:tcW w:w="2326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997AB88" w14:textId="77777777" w:rsidR="002D0894" w:rsidRPr="002D0894" w:rsidRDefault="002D0894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Ср.квад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.откл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22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A9C47F7" w14:textId="77777777" w:rsidR="002D0894" w:rsidRPr="00266DCE" w:rsidRDefault="002D0894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449">
              <w:rPr>
                <w:rFonts w:ascii="Arial" w:hAnsi="Arial" w:cs="Arial"/>
                <w:color w:val="000000"/>
                <w:sz w:val="18"/>
                <w:szCs w:val="18"/>
              </w:rPr>
              <w:t>46,745163</w:t>
            </w:r>
          </w:p>
        </w:tc>
      </w:tr>
      <w:tr w:rsidR="009C6FE9" w:rsidRPr="00266DCE" w14:paraId="32ECC56F" w14:textId="77777777" w:rsidTr="009C6FE9">
        <w:trPr>
          <w:cantSplit/>
        </w:trPr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BFE05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a. Страна = Норвегия</w:t>
            </w:r>
          </w:p>
        </w:tc>
      </w:tr>
      <w:tr w:rsidR="009C6FE9" w:rsidRPr="00266DCE" w14:paraId="15026A0D" w14:textId="77777777" w:rsidTr="009C6FE9">
        <w:trPr>
          <w:cantSplit/>
        </w:trPr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EEEF8" w14:textId="77777777" w:rsidR="009C6FE9" w:rsidRPr="009C6FE9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C6FE9">
              <w:rPr>
                <w:rFonts w:ascii="Arial" w:hAnsi="Arial" w:cs="Arial"/>
                <w:color w:val="000000"/>
                <w:sz w:val="18"/>
                <w:szCs w:val="18"/>
              </w:rPr>
              <w:t>Статистика</w:t>
            </w:r>
            <w:r w:rsidRPr="009C6FE9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b</w:t>
            </w:r>
          </w:p>
        </w:tc>
      </w:tr>
      <w:tr w:rsidR="009C6FE9" w:rsidRPr="00266DCE" w14:paraId="7ACD0BB4" w14:textId="77777777" w:rsidTr="009C6FE9">
        <w:trPr>
          <w:cantSplit/>
        </w:trPr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B32EA" w14:textId="77777777" w:rsidR="009C6FE9" w:rsidRPr="009C6FE9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FE9">
              <w:rPr>
                <w:rFonts w:ascii="Arial" w:hAnsi="Arial" w:cs="Arial"/>
                <w:color w:val="000000"/>
                <w:sz w:val="18"/>
                <w:szCs w:val="18"/>
              </w:rPr>
              <w:t xml:space="preserve">Суммарный объём венчурных инвестиций, млн долл.  </w:t>
            </w:r>
          </w:p>
        </w:tc>
      </w:tr>
      <w:tr w:rsidR="009C6FE9" w:rsidRPr="00266DCE" w14:paraId="1C1EFFD8" w14:textId="77777777" w:rsidTr="009C6FE9">
        <w:trPr>
          <w:cantSplit/>
        </w:trPr>
        <w:tc>
          <w:tcPr>
            <w:tcW w:w="75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746EA49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7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96A997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Валидные</w:t>
            </w:r>
          </w:p>
        </w:tc>
        <w:tc>
          <w:tcPr>
            <w:tcW w:w="122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F4F31A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9C6FE9" w:rsidRPr="00266DCE" w14:paraId="1CCA556F" w14:textId="77777777" w:rsidTr="009C6FE9">
        <w:trPr>
          <w:cantSplit/>
        </w:trPr>
        <w:tc>
          <w:tcPr>
            <w:tcW w:w="7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49BB50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A3CE97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Пропущенные</w:t>
            </w:r>
          </w:p>
        </w:tc>
        <w:tc>
          <w:tcPr>
            <w:tcW w:w="12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3971AA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9C6FE9" w:rsidRPr="00266DCE" w14:paraId="6048F860" w14:textId="77777777" w:rsidTr="009C6FE9">
        <w:trPr>
          <w:cantSplit/>
        </w:trPr>
        <w:tc>
          <w:tcPr>
            <w:tcW w:w="232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93C5287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Среднее</w:t>
            </w:r>
          </w:p>
        </w:tc>
        <w:tc>
          <w:tcPr>
            <w:tcW w:w="12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36B84B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337,03540</w:t>
            </w:r>
          </w:p>
        </w:tc>
      </w:tr>
      <w:tr w:rsidR="009C6FE9" w:rsidRPr="00266DCE" w14:paraId="627BF02C" w14:textId="77777777" w:rsidTr="009C6FE9">
        <w:trPr>
          <w:cantSplit/>
        </w:trPr>
        <w:tc>
          <w:tcPr>
            <w:tcW w:w="232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6D60A0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Медиана</w:t>
            </w:r>
          </w:p>
        </w:tc>
        <w:tc>
          <w:tcPr>
            <w:tcW w:w="12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20CD98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340,24900</w:t>
            </w:r>
          </w:p>
        </w:tc>
      </w:tr>
      <w:tr w:rsidR="009C6FE9" w:rsidRPr="00266DCE" w14:paraId="336720C3" w14:textId="77777777" w:rsidTr="009C6FE9">
        <w:trPr>
          <w:cantSplit/>
        </w:trPr>
        <w:tc>
          <w:tcPr>
            <w:tcW w:w="232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7B9AB6A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Минимум</w:t>
            </w:r>
          </w:p>
        </w:tc>
        <w:tc>
          <w:tcPr>
            <w:tcW w:w="12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F1E83C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193,089</w:t>
            </w:r>
          </w:p>
        </w:tc>
      </w:tr>
      <w:tr w:rsidR="009C6FE9" w:rsidRPr="00266DCE" w14:paraId="50B9E4D3" w14:textId="77777777" w:rsidTr="009C6FE9">
        <w:trPr>
          <w:cantSplit/>
        </w:trPr>
        <w:tc>
          <w:tcPr>
            <w:tcW w:w="2326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6609FF3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Максимум</w:t>
            </w:r>
          </w:p>
        </w:tc>
        <w:tc>
          <w:tcPr>
            <w:tcW w:w="122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3E4EF38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517,072</w:t>
            </w:r>
          </w:p>
        </w:tc>
      </w:tr>
      <w:tr w:rsidR="002D0894" w:rsidRPr="00266DCE" w14:paraId="047FD17C" w14:textId="77777777" w:rsidTr="009C6FE9">
        <w:trPr>
          <w:cantSplit/>
        </w:trPr>
        <w:tc>
          <w:tcPr>
            <w:tcW w:w="2326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68C5650" w14:textId="77777777" w:rsidR="002D0894" w:rsidRPr="00266DCE" w:rsidRDefault="002D0894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Ср.квад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.откл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22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0D7DE81" w14:textId="77777777" w:rsidR="002D0894" w:rsidRPr="00266DCE" w:rsidRDefault="002D0894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449">
              <w:rPr>
                <w:rFonts w:ascii="Arial" w:hAnsi="Arial" w:cs="Arial"/>
                <w:color w:val="000000"/>
                <w:sz w:val="18"/>
                <w:szCs w:val="18"/>
              </w:rPr>
              <w:t>89,538958</w:t>
            </w:r>
          </w:p>
        </w:tc>
      </w:tr>
      <w:tr w:rsidR="009C6FE9" w:rsidRPr="00266DCE" w14:paraId="6EB3A8E7" w14:textId="77777777" w:rsidTr="009C6FE9">
        <w:trPr>
          <w:cantSplit/>
        </w:trPr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434A0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</w:t>
            </w: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. Страна = Швеция</w:t>
            </w:r>
          </w:p>
        </w:tc>
      </w:tr>
      <w:tr w:rsidR="009C6FE9" w:rsidRPr="00266DCE" w14:paraId="0515B29E" w14:textId="77777777" w:rsidTr="009C6FE9">
        <w:trPr>
          <w:cantSplit/>
        </w:trPr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38A65" w14:textId="77777777" w:rsidR="00855C15" w:rsidRDefault="00855C15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6EC134DB" w14:textId="77777777" w:rsidR="009C6FE9" w:rsidRPr="009C6FE9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C6FE9">
              <w:rPr>
                <w:rFonts w:ascii="Arial" w:hAnsi="Arial" w:cs="Arial"/>
                <w:color w:val="000000"/>
                <w:sz w:val="18"/>
                <w:szCs w:val="18"/>
              </w:rPr>
              <w:t>Статистика</w:t>
            </w:r>
            <w:r w:rsidRPr="009C6FE9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c</w:t>
            </w:r>
          </w:p>
        </w:tc>
      </w:tr>
      <w:tr w:rsidR="009C6FE9" w:rsidRPr="00266DCE" w14:paraId="2F03BA72" w14:textId="77777777" w:rsidTr="009C6FE9">
        <w:trPr>
          <w:cantSplit/>
        </w:trPr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21105" w14:textId="77777777" w:rsidR="009C6FE9" w:rsidRPr="009C6FE9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FE9">
              <w:rPr>
                <w:rFonts w:ascii="Arial" w:hAnsi="Arial" w:cs="Arial"/>
                <w:color w:val="000000"/>
                <w:sz w:val="18"/>
                <w:szCs w:val="18"/>
              </w:rPr>
              <w:t xml:space="preserve">Суммарный объём венчурных инвестиций, млн долл.  </w:t>
            </w:r>
          </w:p>
        </w:tc>
      </w:tr>
      <w:tr w:rsidR="009C6FE9" w:rsidRPr="00266DCE" w14:paraId="37EDF4B5" w14:textId="77777777" w:rsidTr="009C6FE9">
        <w:trPr>
          <w:cantSplit/>
        </w:trPr>
        <w:tc>
          <w:tcPr>
            <w:tcW w:w="75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D1461C9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7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F8229A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Валидные</w:t>
            </w:r>
          </w:p>
        </w:tc>
        <w:tc>
          <w:tcPr>
            <w:tcW w:w="122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544BD5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9C6FE9" w:rsidRPr="00266DCE" w14:paraId="144A230A" w14:textId="77777777" w:rsidTr="009C6FE9">
        <w:trPr>
          <w:cantSplit/>
        </w:trPr>
        <w:tc>
          <w:tcPr>
            <w:tcW w:w="7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D1A4C9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AB957B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Пропущенные</w:t>
            </w:r>
          </w:p>
        </w:tc>
        <w:tc>
          <w:tcPr>
            <w:tcW w:w="12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9236B8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9C6FE9" w:rsidRPr="00266DCE" w14:paraId="4616FB11" w14:textId="77777777" w:rsidTr="009C6FE9">
        <w:trPr>
          <w:cantSplit/>
        </w:trPr>
        <w:tc>
          <w:tcPr>
            <w:tcW w:w="232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B2EE336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Среднее</w:t>
            </w:r>
          </w:p>
        </w:tc>
        <w:tc>
          <w:tcPr>
            <w:tcW w:w="12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CF91BE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160,37590</w:t>
            </w:r>
          </w:p>
        </w:tc>
      </w:tr>
      <w:tr w:rsidR="009C6FE9" w:rsidRPr="00266DCE" w14:paraId="1897D604" w14:textId="77777777" w:rsidTr="009C6FE9">
        <w:trPr>
          <w:cantSplit/>
        </w:trPr>
        <w:tc>
          <w:tcPr>
            <w:tcW w:w="232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AA9B3B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Медиана</w:t>
            </w:r>
          </w:p>
        </w:tc>
        <w:tc>
          <w:tcPr>
            <w:tcW w:w="12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122163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107,89200</w:t>
            </w:r>
          </w:p>
        </w:tc>
      </w:tr>
      <w:tr w:rsidR="009C6FE9" w:rsidRPr="00266DCE" w14:paraId="6A294509" w14:textId="77777777" w:rsidTr="009C6FE9">
        <w:trPr>
          <w:cantSplit/>
        </w:trPr>
        <w:tc>
          <w:tcPr>
            <w:tcW w:w="232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FA2575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Минимум</w:t>
            </w:r>
          </w:p>
        </w:tc>
        <w:tc>
          <w:tcPr>
            <w:tcW w:w="12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7BB059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80,617</w:t>
            </w:r>
          </w:p>
        </w:tc>
      </w:tr>
      <w:tr w:rsidR="009C6FE9" w:rsidRPr="00266DCE" w14:paraId="6351CA1C" w14:textId="77777777" w:rsidTr="009C6FE9">
        <w:trPr>
          <w:cantSplit/>
        </w:trPr>
        <w:tc>
          <w:tcPr>
            <w:tcW w:w="2326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C4A4A1A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Максимум</w:t>
            </w:r>
          </w:p>
        </w:tc>
        <w:tc>
          <w:tcPr>
            <w:tcW w:w="122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909AD7F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363,316</w:t>
            </w:r>
          </w:p>
        </w:tc>
      </w:tr>
      <w:tr w:rsidR="00E34C27" w:rsidRPr="00266DCE" w14:paraId="0F1E7B72" w14:textId="77777777" w:rsidTr="009C6FE9">
        <w:trPr>
          <w:cantSplit/>
        </w:trPr>
        <w:tc>
          <w:tcPr>
            <w:tcW w:w="2326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3C3805E" w14:textId="77777777" w:rsidR="00E34C27" w:rsidRPr="00266DCE" w:rsidRDefault="00E34C27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Ср.квад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.откл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22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E207B15" w14:textId="77777777" w:rsidR="00E34C27" w:rsidRPr="00266DCE" w:rsidRDefault="00E34C27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449">
              <w:rPr>
                <w:rFonts w:ascii="Arial" w:hAnsi="Arial" w:cs="Arial"/>
                <w:color w:val="000000"/>
                <w:sz w:val="18"/>
                <w:szCs w:val="18"/>
              </w:rPr>
              <w:t>109,618126</w:t>
            </w:r>
          </w:p>
        </w:tc>
      </w:tr>
      <w:tr w:rsidR="009C6FE9" w:rsidRPr="00266DCE" w14:paraId="05F2718E" w14:textId="77777777" w:rsidTr="009C6FE9">
        <w:trPr>
          <w:cantSplit/>
        </w:trPr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27B57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</w:t>
            </w: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. Страна = Дания</w:t>
            </w:r>
          </w:p>
        </w:tc>
      </w:tr>
      <w:tr w:rsidR="009C6FE9" w:rsidRPr="00266DCE" w14:paraId="79B61C61" w14:textId="77777777" w:rsidTr="009C6FE9">
        <w:trPr>
          <w:cantSplit/>
        </w:trPr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B09DC" w14:textId="77777777" w:rsidR="009C6FE9" w:rsidRPr="009C6FE9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C6FE9">
              <w:rPr>
                <w:rFonts w:ascii="Arial" w:hAnsi="Arial" w:cs="Arial"/>
                <w:color w:val="000000"/>
                <w:sz w:val="18"/>
                <w:szCs w:val="18"/>
              </w:rPr>
              <w:t>Статистика</w:t>
            </w:r>
            <w:r w:rsidRPr="009C6FE9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d</w:t>
            </w:r>
          </w:p>
        </w:tc>
      </w:tr>
      <w:tr w:rsidR="009C6FE9" w:rsidRPr="00DE2CDE" w14:paraId="6DB868DA" w14:textId="77777777" w:rsidTr="009C6FE9">
        <w:trPr>
          <w:cantSplit/>
        </w:trPr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B9ED0" w14:textId="77777777" w:rsidR="009C6FE9" w:rsidRPr="009C6FE9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6FE9">
              <w:rPr>
                <w:rFonts w:ascii="Arial" w:hAnsi="Arial" w:cs="Arial"/>
                <w:color w:val="000000"/>
                <w:sz w:val="18"/>
                <w:szCs w:val="18"/>
              </w:rPr>
              <w:t xml:space="preserve">Суммарный объём венчурных инвестиций, млн долл.  </w:t>
            </w:r>
          </w:p>
        </w:tc>
      </w:tr>
      <w:tr w:rsidR="009C6FE9" w:rsidRPr="00266DCE" w14:paraId="4E1DD43E" w14:textId="77777777" w:rsidTr="009C6FE9">
        <w:trPr>
          <w:cantSplit/>
        </w:trPr>
        <w:tc>
          <w:tcPr>
            <w:tcW w:w="75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9B647C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7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6ADB77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Валидные</w:t>
            </w:r>
          </w:p>
        </w:tc>
        <w:tc>
          <w:tcPr>
            <w:tcW w:w="122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7225B7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9C6FE9" w:rsidRPr="00266DCE" w14:paraId="206A0348" w14:textId="77777777" w:rsidTr="009C6FE9">
        <w:trPr>
          <w:cantSplit/>
        </w:trPr>
        <w:tc>
          <w:tcPr>
            <w:tcW w:w="7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64249D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DD8FEC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Пропущенные</w:t>
            </w:r>
          </w:p>
        </w:tc>
        <w:tc>
          <w:tcPr>
            <w:tcW w:w="12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E7385C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9C6FE9" w:rsidRPr="00266DCE" w14:paraId="3E36D563" w14:textId="77777777" w:rsidTr="009C6FE9">
        <w:trPr>
          <w:cantSplit/>
        </w:trPr>
        <w:tc>
          <w:tcPr>
            <w:tcW w:w="232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0C9D53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Среднее</w:t>
            </w:r>
          </w:p>
        </w:tc>
        <w:tc>
          <w:tcPr>
            <w:tcW w:w="12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FC4D85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170,46780</w:t>
            </w:r>
          </w:p>
        </w:tc>
      </w:tr>
      <w:tr w:rsidR="009C6FE9" w:rsidRPr="00266DCE" w14:paraId="629AD820" w14:textId="77777777" w:rsidTr="009C6FE9">
        <w:trPr>
          <w:cantSplit/>
        </w:trPr>
        <w:tc>
          <w:tcPr>
            <w:tcW w:w="232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A50A49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Медиана</w:t>
            </w:r>
          </w:p>
        </w:tc>
        <w:tc>
          <w:tcPr>
            <w:tcW w:w="12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886BC2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150,25450</w:t>
            </w:r>
          </w:p>
        </w:tc>
      </w:tr>
      <w:tr w:rsidR="009C6FE9" w:rsidRPr="00266DCE" w14:paraId="45C70EDB" w14:textId="77777777" w:rsidTr="009C6FE9">
        <w:trPr>
          <w:cantSplit/>
        </w:trPr>
        <w:tc>
          <w:tcPr>
            <w:tcW w:w="232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623DFB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Минимум</w:t>
            </w:r>
          </w:p>
        </w:tc>
        <w:tc>
          <w:tcPr>
            <w:tcW w:w="122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F0B7C6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103,489</w:t>
            </w:r>
          </w:p>
        </w:tc>
      </w:tr>
      <w:tr w:rsidR="009C6FE9" w:rsidRPr="00266DCE" w14:paraId="645A7775" w14:textId="77777777" w:rsidTr="009C6FE9">
        <w:trPr>
          <w:cantSplit/>
        </w:trPr>
        <w:tc>
          <w:tcPr>
            <w:tcW w:w="2326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091BF01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Максимум</w:t>
            </w:r>
          </w:p>
        </w:tc>
        <w:tc>
          <w:tcPr>
            <w:tcW w:w="122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2593BDD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321,566</w:t>
            </w:r>
          </w:p>
        </w:tc>
      </w:tr>
      <w:tr w:rsidR="00E34C27" w:rsidRPr="00266DCE" w14:paraId="7F80A8A1" w14:textId="77777777" w:rsidTr="009C6FE9">
        <w:trPr>
          <w:cantSplit/>
        </w:trPr>
        <w:tc>
          <w:tcPr>
            <w:tcW w:w="2326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DA5B7B7" w14:textId="77777777" w:rsidR="00E34C27" w:rsidRPr="00266DCE" w:rsidRDefault="00E34C27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Ср.квад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.откл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22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985DD1E" w14:textId="77777777" w:rsidR="00E34C27" w:rsidRPr="00266DCE" w:rsidRDefault="00E34C27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449">
              <w:rPr>
                <w:rFonts w:ascii="Arial" w:hAnsi="Arial" w:cs="Arial"/>
                <w:color w:val="000000"/>
                <w:sz w:val="18"/>
                <w:szCs w:val="18"/>
              </w:rPr>
              <w:t>69,277774</w:t>
            </w:r>
          </w:p>
        </w:tc>
      </w:tr>
      <w:tr w:rsidR="009C6FE9" w:rsidRPr="00266DCE" w14:paraId="678D215B" w14:textId="77777777" w:rsidTr="009C6FE9">
        <w:trPr>
          <w:cantSplit/>
        </w:trPr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21570" w14:textId="77777777" w:rsidR="009C6FE9" w:rsidRPr="00266DCE" w:rsidRDefault="009C6FE9" w:rsidP="002D089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</w:t>
            </w:r>
            <w:r w:rsidRPr="00266DCE">
              <w:rPr>
                <w:rFonts w:ascii="Arial" w:hAnsi="Arial" w:cs="Arial"/>
                <w:color w:val="000000"/>
                <w:sz w:val="18"/>
                <w:szCs w:val="18"/>
              </w:rPr>
              <w:t>. Страна = Финляндия</w:t>
            </w:r>
          </w:p>
        </w:tc>
      </w:tr>
    </w:tbl>
    <w:p w14:paraId="2C459EB0" w14:textId="77777777" w:rsidR="00D55711" w:rsidRDefault="00D55711" w:rsidP="009C6FE9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  <w:sectPr w:rsidR="00D55711" w:rsidSect="00BE782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5E59EBB" w14:textId="77777777" w:rsidR="009C6FE9" w:rsidRPr="009C6FE9" w:rsidRDefault="009C6FE9" w:rsidP="009C6FE9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50728C6" w14:textId="38B14E9B" w:rsidR="00D313EE" w:rsidRDefault="008D01CF" w:rsidP="00074369">
      <w:pPr>
        <w:suppressAutoHyphens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основании полученных данных можно утверждать, что Швеция име</w:t>
      </w:r>
      <w:r w:rsidR="00372D4B">
        <w:rPr>
          <w:rFonts w:ascii="Times New Roman" w:hAnsi="Times New Roman" w:cs="Times New Roman"/>
          <w:sz w:val="28"/>
        </w:rPr>
        <w:t>ет</w:t>
      </w:r>
      <w:r>
        <w:rPr>
          <w:rFonts w:ascii="Times New Roman" w:hAnsi="Times New Roman" w:cs="Times New Roman"/>
          <w:sz w:val="28"/>
        </w:rPr>
        <w:t xml:space="preserve"> существенно более высокие</w:t>
      </w:r>
      <w:r w:rsidR="00546CA0">
        <w:rPr>
          <w:rFonts w:ascii="Times New Roman" w:hAnsi="Times New Roman" w:cs="Times New Roman"/>
          <w:sz w:val="28"/>
        </w:rPr>
        <w:t xml:space="preserve"> среднее (и медианные)</w:t>
      </w:r>
      <w:r>
        <w:rPr>
          <w:rFonts w:ascii="Times New Roman" w:hAnsi="Times New Roman" w:cs="Times New Roman"/>
          <w:sz w:val="28"/>
        </w:rPr>
        <w:t xml:space="preserve"> показатели</w:t>
      </w:r>
      <w:r w:rsidR="00546CA0">
        <w:rPr>
          <w:rFonts w:ascii="Times New Roman" w:hAnsi="Times New Roman" w:cs="Times New Roman"/>
          <w:sz w:val="28"/>
        </w:rPr>
        <w:t xml:space="preserve"> венчурного инвестирования в целом</w:t>
      </w:r>
      <w:r w:rsidR="005F15BC">
        <w:rPr>
          <w:rFonts w:ascii="Times New Roman" w:hAnsi="Times New Roman" w:cs="Times New Roman"/>
          <w:sz w:val="28"/>
        </w:rPr>
        <w:t xml:space="preserve"> в 10-х</w:t>
      </w:r>
      <w:r w:rsidR="00546CA0">
        <w:rPr>
          <w:rFonts w:ascii="Times New Roman" w:hAnsi="Times New Roman" w:cs="Times New Roman"/>
          <w:sz w:val="28"/>
        </w:rPr>
        <w:t>. С учётом высокого значения показателей можно говорить, что поток инвестиций достаточно стабильны</w:t>
      </w:r>
      <w:r w:rsidR="001B6BB2">
        <w:rPr>
          <w:rFonts w:ascii="Times New Roman" w:hAnsi="Times New Roman" w:cs="Times New Roman"/>
          <w:sz w:val="28"/>
        </w:rPr>
        <w:t>й</w:t>
      </w:r>
      <w:r w:rsidR="00546CA0">
        <w:rPr>
          <w:rFonts w:ascii="Times New Roman" w:hAnsi="Times New Roman" w:cs="Times New Roman"/>
          <w:sz w:val="28"/>
        </w:rPr>
        <w:t xml:space="preserve"> (хотя среднеквадр</w:t>
      </w:r>
      <w:r w:rsidR="00667B27">
        <w:rPr>
          <w:rFonts w:ascii="Times New Roman" w:hAnsi="Times New Roman" w:cs="Times New Roman"/>
          <w:sz w:val="28"/>
        </w:rPr>
        <w:t>ат</w:t>
      </w:r>
      <w:r w:rsidR="00546CA0">
        <w:rPr>
          <w:rFonts w:ascii="Times New Roman" w:hAnsi="Times New Roman" w:cs="Times New Roman"/>
          <w:sz w:val="28"/>
        </w:rPr>
        <w:t>ическое отклонение относительно высокое).</w:t>
      </w:r>
      <w:r w:rsidR="00667B27">
        <w:rPr>
          <w:rFonts w:ascii="Times New Roman" w:hAnsi="Times New Roman" w:cs="Times New Roman"/>
          <w:sz w:val="28"/>
        </w:rPr>
        <w:t xml:space="preserve"> Наименее «стабильными» являются инвестиции в датские венчурные проекты, что подтве</w:t>
      </w:r>
      <w:r w:rsidR="00D34297">
        <w:rPr>
          <w:rFonts w:ascii="Times New Roman" w:hAnsi="Times New Roman" w:cs="Times New Roman"/>
          <w:sz w:val="28"/>
        </w:rPr>
        <w:t>р</w:t>
      </w:r>
      <w:r w:rsidR="00667B27">
        <w:rPr>
          <w:rFonts w:ascii="Times New Roman" w:hAnsi="Times New Roman" w:cs="Times New Roman"/>
          <w:sz w:val="28"/>
        </w:rPr>
        <w:t>ждается и разницей между средним и медианой, и среднеквадратическим отклонением.</w:t>
      </w:r>
      <w:r w:rsidR="00796720">
        <w:rPr>
          <w:rFonts w:ascii="Times New Roman" w:hAnsi="Times New Roman" w:cs="Times New Roman"/>
          <w:sz w:val="28"/>
        </w:rPr>
        <w:t xml:space="preserve"> После Швеции венчурная активность наиболее оживлена в Финляндии. </w:t>
      </w:r>
      <w:r w:rsidR="0014753E">
        <w:rPr>
          <w:rFonts w:ascii="Times New Roman" w:hAnsi="Times New Roman" w:cs="Times New Roman"/>
          <w:sz w:val="28"/>
        </w:rPr>
        <w:t>Норвегия является последней страной</w:t>
      </w:r>
      <w:r w:rsidR="002809D5">
        <w:rPr>
          <w:rFonts w:ascii="Times New Roman" w:hAnsi="Times New Roman" w:cs="Times New Roman"/>
          <w:sz w:val="28"/>
        </w:rPr>
        <w:t xml:space="preserve"> региона</w:t>
      </w:r>
      <w:r w:rsidR="0014753E">
        <w:rPr>
          <w:rFonts w:ascii="Times New Roman" w:hAnsi="Times New Roman" w:cs="Times New Roman"/>
          <w:sz w:val="28"/>
        </w:rPr>
        <w:t xml:space="preserve"> по среднему показателю общего объёма венчурных инвестиций в 10-х</w:t>
      </w:r>
      <w:r w:rsidR="002809D5">
        <w:rPr>
          <w:rFonts w:ascii="Times New Roman" w:hAnsi="Times New Roman" w:cs="Times New Roman"/>
          <w:sz w:val="28"/>
        </w:rPr>
        <w:t>.</w:t>
      </w:r>
      <w:r w:rsidR="008E6F36">
        <w:rPr>
          <w:rFonts w:ascii="Times New Roman" w:hAnsi="Times New Roman" w:cs="Times New Roman"/>
          <w:sz w:val="28"/>
        </w:rPr>
        <w:t xml:space="preserve"> Абсолютный максимум венчурных инвестиций зафиксирован в Швеции (517,072 </w:t>
      </w:r>
      <w:r w:rsidR="00041A74">
        <w:rPr>
          <w:rFonts w:ascii="Times New Roman" w:hAnsi="Times New Roman" w:cs="Times New Roman"/>
          <w:sz w:val="28"/>
        </w:rPr>
        <w:t xml:space="preserve">млн </w:t>
      </w:r>
      <w:proofErr w:type="spellStart"/>
      <w:r w:rsidR="00041A74">
        <w:rPr>
          <w:rFonts w:ascii="Times New Roman" w:hAnsi="Times New Roman" w:cs="Times New Roman"/>
          <w:sz w:val="28"/>
        </w:rPr>
        <w:t>долл</w:t>
      </w:r>
      <w:proofErr w:type="spellEnd"/>
      <w:r w:rsidR="00041A74">
        <w:rPr>
          <w:rFonts w:ascii="Times New Roman" w:hAnsi="Times New Roman" w:cs="Times New Roman"/>
          <w:sz w:val="28"/>
        </w:rPr>
        <w:t xml:space="preserve"> в </w:t>
      </w:r>
      <w:r w:rsidR="005F15BC">
        <w:rPr>
          <w:rFonts w:ascii="Times New Roman" w:hAnsi="Times New Roman" w:cs="Times New Roman"/>
          <w:sz w:val="28"/>
        </w:rPr>
        <w:t>2018 году)</w:t>
      </w:r>
      <w:r w:rsidR="00574338">
        <w:rPr>
          <w:rFonts w:ascii="Times New Roman" w:hAnsi="Times New Roman" w:cs="Times New Roman"/>
          <w:sz w:val="28"/>
        </w:rPr>
        <w:t>, причём он существенно превышает пиковые значения в других странах.</w:t>
      </w:r>
    </w:p>
    <w:p w14:paraId="0EB420A7" w14:textId="77777777" w:rsidR="004144C0" w:rsidRDefault="00D34A16" w:rsidP="00074369">
      <w:pPr>
        <w:suppressAutoHyphens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Разведочный</w:t>
      </w:r>
      <w:r w:rsidR="004144C0">
        <w:rPr>
          <w:rFonts w:ascii="Times New Roman" w:hAnsi="Times New Roman" w:cs="Times New Roman"/>
          <w:sz w:val="28"/>
        </w:rPr>
        <w:t xml:space="preserve"> анализ </w:t>
      </w:r>
      <w:r w:rsidR="002F4737">
        <w:rPr>
          <w:rFonts w:ascii="Times New Roman" w:hAnsi="Times New Roman" w:cs="Times New Roman"/>
          <w:sz w:val="28"/>
        </w:rPr>
        <w:t>суммарного объёма венчурных инвестиций</w:t>
      </w:r>
      <w:r w:rsidR="00472B22">
        <w:rPr>
          <w:rFonts w:ascii="Times New Roman" w:hAnsi="Times New Roman" w:cs="Times New Roman"/>
          <w:sz w:val="28"/>
        </w:rPr>
        <w:t xml:space="preserve"> (рис.1)</w:t>
      </w:r>
      <w:r w:rsidR="002F4737">
        <w:rPr>
          <w:rFonts w:ascii="Times New Roman" w:hAnsi="Times New Roman" w:cs="Times New Roman"/>
          <w:sz w:val="28"/>
        </w:rPr>
        <w:t xml:space="preserve"> и объёма инвестиций </w:t>
      </w:r>
      <w:r w:rsidR="007530C5">
        <w:rPr>
          <w:rFonts w:ascii="Times New Roman" w:hAnsi="Times New Roman" w:cs="Times New Roman"/>
          <w:sz w:val="28"/>
        </w:rPr>
        <w:t>в стартапы</w:t>
      </w:r>
      <w:r w:rsidR="00FE1F85" w:rsidRPr="00FE1F85">
        <w:rPr>
          <w:rFonts w:ascii="Times New Roman" w:hAnsi="Times New Roman" w:cs="Times New Roman"/>
          <w:sz w:val="28"/>
        </w:rPr>
        <w:t xml:space="preserve"> </w:t>
      </w:r>
      <w:r w:rsidR="00FE1F85">
        <w:rPr>
          <w:rFonts w:ascii="Times New Roman" w:hAnsi="Times New Roman" w:cs="Times New Roman"/>
          <w:sz w:val="28"/>
        </w:rPr>
        <w:t xml:space="preserve">позволит </w:t>
      </w:r>
      <w:r w:rsidR="00A60D77">
        <w:rPr>
          <w:rFonts w:ascii="Times New Roman" w:hAnsi="Times New Roman" w:cs="Times New Roman"/>
          <w:sz w:val="28"/>
        </w:rPr>
        <w:t xml:space="preserve">выдвинуть предложение о том, являются ли инвестиции в стартапы двигателем </w:t>
      </w:r>
      <w:r w:rsidR="00AD3C22">
        <w:rPr>
          <w:rFonts w:ascii="Times New Roman" w:hAnsi="Times New Roman" w:cs="Times New Roman"/>
          <w:sz w:val="28"/>
        </w:rPr>
        <w:t xml:space="preserve">всех венчурных инвестиций в стране (динамика показателей должна быть </w:t>
      </w:r>
      <w:r w:rsidR="00472B22">
        <w:rPr>
          <w:rFonts w:ascii="Times New Roman" w:hAnsi="Times New Roman" w:cs="Times New Roman"/>
          <w:sz w:val="28"/>
        </w:rPr>
        <w:t>одинаковая).</w:t>
      </w:r>
    </w:p>
    <w:p w14:paraId="2F556FA6" w14:textId="77777777" w:rsidR="00B31B95" w:rsidRDefault="00B31B95" w:rsidP="00C14194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</w:rPr>
        <w:sectPr w:rsidR="00B31B95" w:rsidSect="00BE782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BA909FE" w14:textId="77777777" w:rsidR="00472B22" w:rsidRDefault="00C14194" w:rsidP="00B31B95">
      <w:pPr>
        <w:suppressAutoHyphens w:val="0"/>
        <w:spacing w:after="0" w:line="360" w:lineRule="auto"/>
        <w:ind w:hanging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1DF8A8" wp14:editId="37D91CFF">
            <wp:extent cx="3224009" cy="2581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75" cy="261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15B8C" w14:textId="77777777" w:rsidR="00C14194" w:rsidRDefault="00C14194" w:rsidP="00B31B95">
      <w:pPr>
        <w:suppressAutoHyphens w:val="0"/>
        <w:spacing w:after="0" w:line="360" w:lineRule="auto"/>
        <w:ind w:hanging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3A45EB" wp14:editId="199915B3">
            <wp:extent cx="3259699" cy="2609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67" cy="26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D085" w14:textId="77777777" w:rsidR="00B31B95" w:rsidRDefault="00B31B95" w:rsidP="00B31B95">
      <w:pPr>
        <w:suppressAutoHyphens w:val="0"/>
        <w:spacing w:after="0" w:line="360" w:lineRule="auto"/>
        <w:ind w:hanging="851"/>
        <w:jc w:val="both"/>
        <w:rPr>
          <w:rFonts w:ascii="Times New Roman" w:hAnsi="Times New Roman" w:cs="Times New Roman"/>
          <w:sz w:val="28"/>
        </w:rPr>
      </w:pPr>
    </w:p>
    <w:p w14:paraId="59B93CCE" w14:textId="77777777" w:rsidR="00C14194" w:rsidRPr="00FE1F85" w:rsidRDefault="00B31B95" w:rsidP="00B31B95">
      <w:pPr>
        <w:suppressAutoHyphens w:val="0"/>
        <w:spacing w:after="0" w:line="360" w:lineRule="auto"/>
        <w:ind w:hanging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238E3" wp14:editId="21AD3389">
            <wp:extent cx="3235907" cy="2590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082" cy="260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E9768" w14:textId="77777777" w:rsidR="00B31B95" w:rsidRDefault="00B31B95" w:rsidP="00B31B95">
      <w:pPr>
        <w:suppressAutoHyphens w:val="0"/>
        <w:spacing w:after="0" w:line="360" w:lineRule="auto"/>
        <w:ind w:hanging="851"/>
        <w:jc w:val="both"/>
        <w:rPr>
          <w:rFonts w:ascii="Times New Roman" w:hAnsi="Times New Roman" w:cs="Times New Roman"/>
          <w:sz w:val="28"/>
        </w:rPr>
        <w:sectPr w:rsidR="00B31B95" w:rsidSect="00BE782E">
          <w:type w:val="continuous"/>
          <w:pgSz w:w="11906" w:h="16838"/>
          <w:pgMar w:top="1134" w:right="282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EC4CC" wp14:editId="41F07829">
            <wp:extent cx="3257550" cy="2608128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598" cy="261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3EE">
        <w:rPr>
          <w:rFonts w:ascii="Times New Roman" w:hAnsi="Times New Roman" w:cs="Times New Roman"/>
          <w:sz w:val="28"/>
        </w:rPr>
        <w:tab/>
      </w:r>
    </w:p>
    <w:p w14:paraId="71E3522F" w14:textId="77777777" w:rsidR="006027D9" w:rsidRDefault="00D060FC" w:rsidP="006F03A5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Рис.1. Суммарный объём венчурных инвестиций и объём венчурных инвестиций на стадии стартапа в странах Северной Европы в 2010-е.</w:t>
      </w:r>
    </w:p>
    <w:p w14:paraId="38D4DA5F" w14:textId="77777777" w:rsidR="006027D9" w:rsidRDefault="006027D9" w:rsidP="006F03A5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8CA4DBF" w14:textId="77777777" w:rsidR="006561BB" w:rsidRDefault="00482978" w:rsidP="00074369">
      <w:pPr>
        <w:suppressAutoHyphens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</w:t>
      </w:r>
      <w:r w:rsidR="001F4D92">
        <w:rPr>
          <w:rFonts w:ascii="Times New Roman" w:hAnsi="Times New Roman" w:cs="Times New Roman"/>
          <w:sz w:val="28"/>
        </w:rPr>
        <w:t xml:space="preserve"> видно по графикам, </w:t>
      </w:r>
      <w:r w:rsidR="000514B1">
        <w:rPr>
          <w:rFonts w:ascii="Times New Roman" w:hAnsi="Times New Roman" w:cs="Times New Roman"/>
          <w:sz w:val="28"/>
        </w:rPr>
        <w:t>динамика инвестиций в стартапы и общего объёма венчурных вложений</w:t>
      </w:r>
      <w:r w:rsidR="00D8122D">
        <w:rPr>
          <w:rFonts w:ascii="Times New Roman" w:hAnsi="Times New Roman" w:cs="Times New Roman"/>
          <w:sz w:val="28"/>
        </w:rPr>
        <w:t xml:space="preserve"> имеет схожий характер в случае Норвегии, Швеции, отчасти Финляндии</w:t>
      </w:r>
      <w:r w:rsidR="00B62D05">
        <w:rPr>
          <w:rFonts w:ascii="Times New Roman" w:hAnsi="Times New Roman" w:cs="Times New Roman"/>
          <w:sz w:val="28"/>
        </w:rPr>
        <w:t xml:space="preserve">. Такой вывод мы однозначно не можем сделать в случае Дании. Также </w:t>
      </w:r>
      <w:r w:rsidR="00392BD7">
        <w:rPr>
          <w:rFonts w:ascii="Times New Roman" w:hAnsi="Times New Roman" w:cs="Times New Roman"/>
          <w:sz w:val="28"/>
        </w:rPr>
        <w:t>стоит отметить, что многие максимальные значения (в правых верхних углах) приходятся именно на конец 10-х.</w:t>
      </w:r>
      <w:r w:rsidR="001D6920">
        <w:rPr>
          <w:rFonts w:ascii="Times New Roman" w:hAnsi="Times New Roman" w:cs="Times New Roman"/>
          <w:sz w:val="28"/>
        </w:rPr>
        <w:t xml:space="preserve"> Это находит отражения и на временном графике суммарного объёма венчурных инвестиций (рис.2). Здесь главным наблюдением становится угасающая в течение 10-х венчурная активность в Норвегии.</w:t>
      </w:r>
    </w:p>
    <w:p w14:paraId="64156D0E" w14:textId="77777777" w:rsidR="00ED0225" w:rsidRDefault="00ED0225" w:rsidP="00ED0225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</w:rPr>
        <w:sectPr w:rsidR="00ED0225" w:rsidSect="00BE782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50595AB" w14:textId="77777777" w:rsidR="006561BB" w:rsidRDefault="008A5294" w:rsidP="00ED0225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3EA39F" wp14:editId="1B17E5BA">
            <wp:extent cx="2962282" cy="237172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353" cy="238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B83F5" w14:textId="77777777" w:rsidR="00ED0225" w:rsidRDefault="00ED0225" w:rsidP="00ED0225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4D7AC" wp14:editId="4662F026">
            <wp:extent cx="2981325" cy="23869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656" cy="240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28BF" w14:textId="77777777" w:rsidR="00ED0225" w:rsidRDefault="00ED0225" w:rsidP="00ED0225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3B5A6" wp14:editId="0F7C84F6">
            <wp:extent cx="2962282" cy="237172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794" cy="23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059B2C" wp14:editId="6D1EBD99">
            <wp:extent cx="3033661" cy="24288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790" cy="244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1D998" w14:textId="77777777" w:rsidR="00ED0225" w:rsidRPr="00ED0225" w:rsidRDefault="00ED0225" w:rsidP="00ED0225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</w:rPr>
        <w:sectPr w:rsidR="00ED0225" w:rsidRPr="00ED0225" w:rsidSect="00BE782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EF54428" w14:textId="77777777" w:rsidR="00ED0225" w:rsidRDefault="00BF4CAF" w:rsidP="00E3371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Рис.2. </w:t>
      </w:r>
      <w:r w:rsidR="00E33712">
        <w:rPr>
          <w:rFonts w:ascii="Times New Roman" w:hAnsi="Times New Roman" w:cs="Times New Roman"/>
          <w:sz w:val="28"/>
        </w:rPr>
        <w:t>Временной график суммарного объёма венчурных инвестиций в странах Северной Европы в 2010-х.</w:t>
      </w:r>
    </w:p>
    <w:p w14:paraId="42448541" w14:textId="77777777" w:rsidR="008C09CD" w:rsidRDefault="008C09CD" w:rsidP="00E33712">
      <w:pPr>
        <w:jc w:val="center"/>
        <w:rPr>
          <w:rFonts w:ascii="Times New Roman" w:hAnsi="Times New Roman" w:cs="Times New Roman"/>
          <w:sz w:val="28"/>
        </w:rPr>
      </w:pPr>
    </w:p>
    <w:p w14:paraId="59B8ED79" w14:textId="77777777" w:rsidR="008C09CD" w:rsidRPr="00BF4CAF" w:rsidRDefault="001356A3" w:rsidP="00B779C1">
      <w:pPr>
        <w:pStyle w:val="2"/>
      </w:pPr>
      <w:bookmarkStart w:id="5" w:name="_Toc89784918"/>
      <w:r>
        <w:t xml:space="preserve">2.3. </w:t>
      </w:r>
      <w:r w:rsidR="00B779C1">
        <w:t>Анализ зависимости показателей объёма венчурных инвестиций и ВВП страны (таблицы сопряжённости и непараметрические критерии)</w:t>
      </w:r>
      <w:bookmarkEnd w:id="5"/>
    </w:p>
    <w:p w14:paraId="267B1326" w14:textId="77777777" w:rsidR="004F1FC7" w:rsidRDefault="004F1FC7" w:rsidP="00074369">
      <w:pPr>
        <w:suppressAutoHyphens w:val="0"/>
        <w:spacing w:line="276" w:lineRule="auto"/>
      </w:pPr>
    </w:p>
    <w:p w14:paraId="5A9A6AA0" w14:textId="77777777" w:rsidR="004F1FC7" w:rsidRDefault="003D3012" w:rsidP="00074369">
      <w:pPr>
        <w:suppressAutoHyphens w:val="0"/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tab/>
      </w:r>
      <w:r w:rsidR="006D06B6">
        <w:rPr>
          <w:rFonts w:ascii="Times New Roman" w:hAnsi="Times New Roman" w:cs="Times New Roman"/>
          <w:sz w:val="28"/>
        </w:rPr>
        <w:t xml:space="preserve">В этой части работы </w:t>
      </w:r>
      <w:r w:rsidR="00963476">
        <w:rPr>
          <w:rFonts w:ascii="Times New Roman" w:hAnsi="Times New Roman" w:cs="Times New Roman"/>
          <w:sz w:val="28"/>
        </w:rPr>
        <w:t>с помощью анализа таблиц сопряжённости, проверки распределений и непараметрических критериев</w:t>
      </w:r>
      <w:r w:rsidR="00DF6784">
        <w:rPr>
          <w:rFonts w:ascii="Times New Roman" w:hAnsi="Times New Roman" w:cs="Times New Roman"/>
          <w:sz w:val="28"/>
        </w:rPr>
        <w:t xml:space="preserve"> проверялась зависимость между объёмом ВВП и общим объёмом венчурных инвестиций</w:t>
      </w:r>
      <w:r w:rsidR="007D279D">
        <w:rPr>
          <w:rFonts w:ascii="Times New Roman" w:hAnsi="Times New Roman" w:cs="Times New Roman"/>
          <w:sz w:val="28"/>
        </w:rPr>
        <w:t xml:space="preserve"> (является ли их динамика схожей для стран Северной Европы)</w:t>
      </w:r>
      <w:r w:rsidR="00DF6784">
        <w:rPr>
          <w:rFonts w:ascii="Times New Roman" w:hAnsi="Times New Roman" w:cs="Times New Roman"/>
          <w:sz w:val="28"/>
        </w:rPr>
        <w:t>.</w:t>
      </w:r>
      <w:r w:rsidR="007D279D">
        <w:rPr>
          <w:rFonts w:ascii="Times New Roman" w:hAnsi="Times New Roman" w:cs="Times New Roman"/>
          <w:sz w:val="28"/>
        </w:rPr>
        <w:t xml:space="preserve"> Стоит оговориться, что здесь исследование производилось на протяжении всего временного периода (2007-2020).</w:t>
      </w:r>
    </w:p>
    <w:p w14:paraId="70F96373" w14:textId="77777777" w:rsidR="00121C1E" w:rsidRDefault="005E3BD0" w:rsidP="00074369">
      <w:pPr>
        <w:suppressAutoHyphens w:val="0"/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D207B">
        <w:rPr>
          <w:rFonts w:ascii="Times New Roman" w:hAnsi="Times New Roman" w:cs="Times New Roman"/>
          <w:sz w:val="28"/>
        </w:rPr>
        <w:t xml:space="preserve">Проверка распределения по критерию хи-квадрат Пирсона выявило различия в распределениях </w:t>
      </w:r>
      <w:r w:rsidR="00121C1E">
        <w:rPr>
          <w:rFonts w:ascii="Times New Roman" w:hAnsi="Times New Roman" w:cs="Times New Roman"/>
          <w:sz w:val="28"/>
        </w:rPr>
        <w:t xml:space="preserve">рассматриваемых </w:t>
      </w:r>
      <w:r w:rsidR="00CD207B">
        <w:rPr>
          <w:rFonts w:ascii="Times New Roman" w:hAnsi="Times New Roman" w:cs="Times New Roman"/>
          <w:sz w:val="28"/>
        </w:rPr>
        <w:t>величин</w:t>
      </w:r>
      <w:r w:rsidR="00121C1E">
        <w:rPr>
          <w:rFonts w:ascii="Times New Roman" w:hAnsi="Times New Roman" w:cs="Times New Roman"/>
          <w:sz w:val="28"/>
        </w:rPr>
        <w:t xml:space="preserve">. </w:t>
      </w:r>
      <w:r w:rsidR="00F262B5">
        <w:rPr>
          <w:rFonts w:ascii="Times New Roman" w:hAnsi="Times New Roman" w:cs="Times New Roman"/>
          <w:sz w:val="28"/>
        </w:rPr>
        <w:t>Построение и анализ таблицы сопряжённости между общим объёмом венчурных инвестиций и объёмом ВВП, разделённых по категориям, также не подтвердило существование пропорциональной зависимости (Таблица 6).</w:t>
      </w:r>
    </w:p>
    <w:p w14:paraId="2A691F20" w14:textId="77777777" w:rsidR="00510CC2" w:rsidRDefault="00510CC2" w:rsidP="00510CC2">
      <w:pPr>
        <w:suppressAutoHyphens w:val="0"/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6.</w:t>
      </w:r>
    </w:p>
    <w:tbl>
      <w:tblPr>
        <w:tblW w:w="61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137"/>
        <w:gridCol w:w="1029"/>
        <w:gridCol w:w="1475"/>
      </w:tblGrid>
      <w:tr w:rsidR="00510CC2" w:rsidRPr="0070124C" w14:paraId="167805AB" w14:textId="77777777" w:rsidTr="00510CC2">
        <w:trPr>
          <w:cantSplit/>
        </w:trPr>
        <w:tc>
          <w:tcPr>
            <w:tcW w:w="61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DBDB47" w14:textId="77777777" w:rsidR="00510CC2" w:rsidRPr="0070124C" w:rsidRDefault="00510CC2" w:rsidP="0079366B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0124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Критерии хи-квадрат</w:t>
            </w:r>
          </w:p>
        </w:tc>
      </w:tr>
      <w:tr w:rsidR="00510CC2" w:rsidRPr="0070124C" w14:paraId="3EBC50AF" w14:textId="77777777" w:rsidTr="00510CC2">
        <w:trPr>
          <w:cantSplit/>
        </w:trPr>
        <w:tc>
          <w:tcPr>
            <w:tcW w:w="24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57E208E" w14:textId="77777777" w:rsidR="00510CC2" w:rsidRPr="0070124C" w:rsidRDefault="00510CC2" w:rsidP="0079366B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2B39A3D" w14:textId="77777777" w:rsidR="00510CC2" w:rsidRPr="0070124C" w:rsidRDefault="00510CC2" w:rsidP="0079366B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0124C">
              <w:rPr>
                <w:rFonts w:ascii="Arial" w:hAnsi="Arial" w:cs="Arial"/>
                <w:color w:val="000000"/>
                <w:sz w:val="18"/>
                <w:szCs w:val="18"/>
              </w:rPr>
              <w:t>Значение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F30E7E8" w14:textId="77777777" w:rsidR="00510CC2" w:rsidRPr="0070124C" w:rsidRDefault="00510CC2" w:rsidP="0079366B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0124C">
              <w:rPr>
                <w:rFonts w:ascii="Arial" w:hAnsi="Arial" w:cs="Arial"/>
                <w:color w:val="000000"/>
                <w:sz w:val="18"/>
                <w:szCs w:val="18"/>
              </w:rPr>
              <w:t>ст.св</w:t>
            </w:r>
            <w:proofErr w:type="spellEnd"/>
            <w:r w:rsidRPr="0070124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23D8FA3" w14:textId="77777777" w:rsidR="00510CC2" w:rsidRPr="0070124C" w:rsidRDefault="00510CC2" w:rsidP="0079366B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0124C">
              <w:rPr>
                <w:rFonts w:ascii="Arial" w:hAnsi="Arial" w:cs="Arial"/>
                <w:color w:val="000000"/>
                <w:sz w:val="18"/>
                <w:szCs w:val="18"/>
              </w:rPr>
              <w:t>Асимптотическая значимость (2-сторонняя)</w:t>
            </w:r>
          </w:p>
        </w:tc>
      </w:tr>
      <w:tr w:rsidR="00510CC2" w:rsidRPr="0070124C" w14:paraId="1F07C13B" w14:textId="77777777" w:rsidTr="00510CC2">
        <w:trPr>
          <w:cantSplit/>
        </w:trPr>
        <w:tc>
          <w:tcPr>
            <w:tcW w:w="246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97015C6" w14:textId="77777777" w:rsidR="00510CC2" w:rsidRPr="0070124C" w:rsidRDefault="00510CC2" w:rsidP="0079366B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0124C">
              <w:rPr>
                <w:rFonts w:ascii="Arial" w:hAnsi="Arial" w:cs="Arial"/>
                <w:color w:val="000000"/>
                <w:sz w:val="18"/>
                <w:szCs w:val="18"/>
              </w:rPr>
              <w:t>Хи-квадрат Пирсона</w:t>
            </w:r>
          </w:p>
        </w:tc>
        <w:tc>
          <w:tcPr>
            <w:tcW w:w="113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C0042B8" w14:textId="77777777" w:rsidR="00510CC2" w:rsidRPr="0070124C" w:rsidRDefault="00510CC2" w:rsidP="0079366B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0124C">
              <w:rPr>
                <w:rFonts w:ascii="Arial" w:hAnsi="Arial" w:cs="Arial"/>
                <w:color w:val="000000"/>
                <w:sz w:val="18"/>
                <w:szCs w:val="18"/>
              </w:rPr>
              <w:t>28,462</w:t>
            </w:r>
            <w:r w:rsidRPr="0070124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10C54FF" w14:textId="77777777" w:rsidR="00510CC2" w:rsidRPr="0070124C" w:rsidRDefault="00510CC2" w:rsidP="0079366B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0124C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25B7C5" w14:textId="77777777" w:rsidR="00510CC2" w:rsidRPr="0070124C" w:rsidRDefault="00510CC2" w:rsidP="0079366B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0124C">
              <w:rPr>
                <w:rFonts w:ascii="Arial" w:hAnsi="Arial" w:cs="Arial"/>
                <w:color w:val="000000"/>
                <w:sz w:val="18"/>
                <w:szCs w:val="18"/>
              </w:rPr>
              <w:t>,002</w:t>
            </w:r>
          </w:p>
        </w:tc>
      </w:tr>
      <w:tr w:rsidR="00510CC2" w:rsidRPr="0070124C" w14:paraId="6ABE5DE9" w14:textId="77777777" w:rsidTr="00510CC2">
        <w:trPr>
          <w:cantSplit/>
        </w:trPr>
        <w:tc>
          <w:tcPr>
            <w:tcW w:w="246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78CC4E9" w14:textId="77777777" w:rsidR="00510CC2" w:rsidRPr="0070124C" w:rsidRDefault="00510CC2" w:rsidP="0079366B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0124C">
              <w:rPr>
                <w:rFonts w:ascii="Arial" w:hAnsi="Arial" w:cs="Arial"/>
                <w:color w:val="000000"/>
                <w:sz w:val="18"/>
                <w:szCs w:val="18"/>
              </w:rPr>
              <w:t>Отношения правдоподобия</w:t>
            </w:r>
          </w:p>
        </w:tc>
        <w:tc>
          <w:tcPr>
            <w:tcW w:w="113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6AE0C5" w14:textId="77777777" w:rsidR="00510CC2" w:rsidRPr="0070124C" w:rsidRDefault="00510CC2" w:rsidP="0079366B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0124C">
              <w:rPr>
                <w:rFonts w:ascii="Arial" w:hAnsi="Arial" w:cs="Arial"/>
                <w:color w:val="000000"/>
                <w:sz w:val="18"/>
                <w:szCs w:val="18"/>
              </w:rPr>
              <w:t>32,499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3DB7A7" w14:textId="77777777" w:rsidR="00510CC2" w:rsidRPr="0070124C" w:rsidRDefault="00510CC2" w:rsidP="0079366B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0124C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BB47CD" w14:textId="77777777" w:rsidR="00510CC2" w:rsidRPr="0070124C" w:rsidRDefault="00510CC2" w:rsidP="0079366B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0124C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510CC2" w:rsidRPr="0070124C" w14:paraId="7BB12F51" w14:textId="77777777" w:rsidTr="00510CC2">
        <w:trPr>
          <w:cantSplit/>
        </w:trPr>
        <w:tc>
          <w:tcPr>
            <w:tcW w:w="246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42596B4" w14:textId="77777777" w:rsidR="00510CC2" w:rsidRPr="0070124C" w:rsidRDefault="00510CC2" w:rsidP="0079366B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0124C">
              <w:rPr>
                <w:rFonts w:ascii="Arial" w:hAnsi="Arial" w:cs="Arial"/>
                <w:color w:val="000000"/>
                <w:sz w:val="18"/>
                <w:szCs w:val="18"/>
              </w:rPr>
              <w:t>Линейно-линейная связь</w:t>
            </w:r>
          </w:p>
        </w:tc>
        <w:tc>
          <w:tcPr>
            <w:tcW w:w="113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132FD0" w14:textId="77777777" w:rsidR="00510CC2" w:rsidRPr="0070124C" w:rsidRDefault="00510CC2" w:rsidP="0079366B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0124C">
              <w:rPr>
                <w:rFonts w:ascii="Arial" w:hAnsi="Arial" w:cs="Arial"/>
                <w:color w:val="000000"/>
                <w:sz w:val="18"/>
                <w:szCs w:val="18"/>
              </w:rPr>
              <w:t>16,099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1E0FC8" w14:textId="77777777" w:rsidR="00510CC2" w:rsidRPr="0070124C" w:rsidRDefault="00510CC2" w:rsidP="0079366B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0124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5067F6" w14:textId="77777777" w:rsidR="00510CC2" w:rsidRPr="0070124C" w:rsidRDefault="00510CC2" w:rsidP="0079366B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0124C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510CC2" w:rsidRPr="0070124C" w14:paraId="2BB198E7" w14:textId="77777777" w:rsidTr="00510CC2">
        <w:trPr>
          <w:cantSplit/>
        </w:trPr>
        <w:tc>
          <w:tcPr>
            <w:tcW w:w="246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771264B" w14:textId="77777777" w:rsidR="00510CC2" w:rsidRPr="0070124C" w:rsidRDefault="00510CC2" w:rsidP="0079366B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0124C">
              <w:rPr>
                <w:rFonts w:ascii="Arial" w:hAnsi="Arial" w:cs="Arial"/>
                <w:color w:val="000000"/>
                <w:sz w:val="18"/>
                <w:szCs w:val="18"/>
              </w:rPr>
              <w:t>Количество допустимых наблюдений</w:t>
            </w:r>
          </w:p>
        </w:tc>
        <w:tc>
          <w:tcPr>
            <w:tcW w:w="113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AD6EC6E" w14:textId="77777777" w:rsidR="00510CC2" w:rsidRPr="0070124C" w:rsidRDefault="00510CC2" w:rsidP="0079366B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0124C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23901FE" w14:textId="77777777" w:rsidR="00510CC2" w:rsidRPr="0070124C" w:rsidRDefault="00510CC2" w:rsidP="0079366B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00E326F" w14:textId="77777777" w:rsidR="00510CC2" w:rsidRPr="0070124C" w:rsidRDefault="00510CC2" w:rsidP="0079366B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CC2" w:rsidRPr="0070124C" w14:paraId="58A3CF34" w14:textId="77777777" w:rsidTr="00510CC2">
        <w:trPr>
          <w:cantSplit/>
        </w:trPr>
        <w:tc>
          <w:tcPr>
            <w:tcW w:w="61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3A1D2" w14:textId="77777777" w:rsidR="00510CC2" w:rsidRPr="0070124C" w:rsidRDefault="00510CC2" w:rsidP="0079366B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0124C">
              <w:rPr>
                <w:rFonts w:ascii="Arial" w:hAnsi="Arial" w:cs="Arial"/>
                <w:color w:val="000000"/>
                <w:sz w:val="18"/>
                <w:szCs w:val="18"/>
              </w:rPr>
              <w:t>a. Для числа ячеек 14 (77,8%) предполагается значение, меньше 5. Минимальное предполагаемое число равно 1,07.</w:t>
            </w:r>
          </w:p>
        </w:tc>
      </w:tr>
    </w:tbl>
    <w:p w14:paraId="1F50D688" w14:textId="77777777" w:rsidR="00510CC2" w:rsidRPr="00121C1E" w:rsidRDefault="00510CC2" w:rsidP="00510CC2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B42F4AC" w14:textId="77777777" w:rsidR="00510CC2" w:rsidRDefault="00510CC2" w:rsidP="00F345F1">
      <w:pPr>
        <w:suppressAutoHyphens w:val="0"/>
        <w:spacing w:after="0" w:line="360" w:lineRule="auto"/>
        <w:jc w:val="both"/>
      </w:pPr>
    </w:p>
    <w:p w14:paraId="52B15F72" w14:textId="77777777" w:rsidR="00510CC2" w:rsidRDefault="00510CC2">
      <w:pPr>
        <w:suppressAutoHyphens w:val="0"/>
      </w:pPr>
      <w:r>
        <w:br w:type="page"/>
      </w:r>
    </w:p>
    <w:p w14:paraId="79A78714" w14:textId="77777777" w:rsidR="00510CC2" w:rsidRDefault="00510CC2" w:rsidP="00F345F1">
      <w:pPr>
        <w:suppressAutoHyphens w:val="0"/>
        <w:spacing w:after="0" w:line="360" w:lineRule="auto"/>
        <w:jc w:val="both"/>
        <w:sectPr w:rsidR="00510CC2" w:rsidSect="00BE782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AF61556" w14:textId="77777777" w:rsidR="00510CC2" w:rsidRDefault="00510CC2" w:rsidP="00F345F1">
      <w:pPr>
        <w:suppressAutoHyphens w:val="0"/>
        <w:spacing w:after="0" w:line="360" w:lineRule="auto"/>
        <w:jc w:val="both"/>
      </w:pPr>
      <w:r>
        <w:lastRenderedPageBreak/>
        <w:t xml:space="preserve">   </w:t>
      </w:r>
    </w:p>
    <w:p w14:paraId="3D9D3C84" w14:textId="77777777" w:rsidR="00021C3E" w:rsidRPr="0074012D" w:rsidRDefault="00021C3E" w:rsidP="00021C3E">
      <w:pPr>
        <w:suppressAutoHyphens w:val="0"/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74012D">
        <w:rPr>
          <w:rFonts w:ascii="Times New Roman" w:hAnsi="Times New Roman" w:cs="Times New Roman"/>
          <w:sz w:val="28"/>
        </w:rPr>
        <w:t>Таблица 6 (продолжение).</w:t>
      </w:r>
    </w:p>
    <w:tbl>
      <w:tblPr>
        <w:tblpPr w:leftFromText="180" w:rightFromText="180" w:vertAnchor="text" w:horzAnchor="margin" w:tblpY="151"/>
        <w:tblW w:w="151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2409"/>
        <w:gridCol w:w="1418"/>
        <w:gridCol w:w="1276"/>
        <w:gridCol w:w="1417"/>
        <w:gridCol w:w="1276"/>
        <w:gridCol w:w="1559"/>
        <w:gridCol w:w="1276"/>
        <w:gridCol w:w="1276"/>
      </w:tblGrid>
      <w:tr w:rsidR="004008B8" w:rsidRPr="00510CC2" w14:paraId="044A9D59" w14:textId="77777777" w:rsidTr="004008B8">
        <w:trPr>
          <w:cantSplit/>
        </w:trPr>
        <w:tc>
          <w:tcPr>
            <w:tcW w:w="1516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27573D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  <w:t xml:space="preserve">Комбинационная таблица Общий объём </w:t>
            </w:r>
            <w:proofErr w:type="spellStart"/>
            <w:proofErr w:type="gramStart"/>
            <w:r w:rsidRPr="00510CC2"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  <w:t>венч.инвестиций</w:t>
            </w:r>
            <w:proofErr w:type="spellEnd"/>
            <w:proofErr w:type="gramEnd"/>
            <w:r w:rsidRPr="00510CC2"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  <w:t xml:space="preserve"> по категориям * Объём ВВП по категориям</w:t>
            </w:r>
          </w:p>
        </w:tc>
      </w:tr>
      <w:tr w:rsidR="004008B8" w:rsidRPr="00510CC2" w14:paraId="453B0319" w14:textId="77777777" w:rsidTr="004008B8">
        <w:trPr>
          <w:cantSplit/>
        </w:trPr>
        <w:tc>
          <w:tcPr>
            <w:tcW w:w="5670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3D831F2C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8222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6A4FAB88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Объём ВВП по категориям</w:t>
            </w:r>
          </w:p>
        </w:tc>
        <w:tc>
          <w:tcPr>
            <w:tcW w:w="1276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D74645D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Всего</w:t>
            </w:r>
          </w:p>
        </w:tc>
      </w:tr>
      <w:tr w:rsidR="004008B8" w:rsidRPr="00510CC2" w14:paraId="1D820B82" w14:textId="77777777" w:rsidTr="004008B8">
        <w:trPr>
          <w:cantSplit/>
        </w:trPr>
        <w:tc>
          <w:tcPr>
            <w:tcW w:w="5670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03F2C295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14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31F8235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до 250 млрд</w:t>
            </w:r>
          </w:p>
        </w:tc>
        <w:tc>
          <w:tcPr>
            <w:tcW w:w="127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3AD2E7F2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250-300 млрд</w:t>
            </w:r>
          </w:p>
        </w:tc>
        <w:tc>
          <w:tcPr>
            <w:tcW w:w="141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48190DB3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300-350 млрд</w:t>
            </w:r>
          </w:p>
        </w:tc>
        <w:tc>
          <w:tcPr>
            <w:tcW w:w="127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042F5D41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400-450 млрд</w:t>
            </w:r>
          </w:p>
        </w:tc>
        <w:tc>
          <w:tcPr>
            <w:tcW w:w="155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28193632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450-500 млрд</w:t>
            </w:r>
          </w:p>
        </w:tc>
        <w:tc>
          <w:tcPr>
            <w:tcW w:w="127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A40DCC0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500+ млрд</w:t>
            </w:r>
          </w:p>
        </w:tc>
        <w:tc>
          <w:tcPr>
            <w:tcW w:w="1276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561A19E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</w:tr>
      <w:tr w:rsidR="004008B8" w:rsidRPr="00510CC2" w14:paraId="46F1E5AE" w14:textId="77777777" w:rsidTr="004008B8">
        <w:trPr>
          <w:cantSplit/>
        </w:trPr>
        <w:tc>
          <w:tcPr>
            <w:tcW w:w="1418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21003D4A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 xml:space="preserve">Общий объём </w:t>
            </w:r>
            <w:proofErr w:type="spellStart"/>
            <w:proofErr w:type="gramStart"/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венч.инвестиций</w:t>
            </w:r>
            <w:proofErr w:type="spellEnd"/>
            <w:proofErr w:type="gramEnd"/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 xml:space="preserve"> по категориям</w:t>
            </w:r>
          </w:p>
        </w:tc>
        <w:tc>
          <w:tcPr>
            <w:tcW w:w="1843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213C092A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Низкий (до 150 млн)</w:t>
            </w:r>
          </w:p>
        </w:tc>
        <w:tc>
          <w:tcPr>
            <w:tcW w:w="240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385C76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Количество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3FEA4A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4</w:t>
            </w:r>
          </w:p>
        </w:tc>
        <w:tc>
          <w:tcPr>
            <w:tcW w:w="12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70C0766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7</w:t>
            </w:r>
          </w:p>
        </w:tc>
        <w:tc>
          <w:tcPr>
            <w:tcW w:w="14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384D130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11</w:t>
            </w:r>
          </w:p>
        </w:tc>
        <w:tc>
          <w:tcPr>
            <w:tcW w:w="12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959DF1A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0</w:t>
            </w:r>
          </w:p>
        </w:tc>
        <w:tc>
          <w:tcPr>
            <w:tcW w:w="155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7D0B8EB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0</w:t>
            </w:r>
          </w:p>
        </w:tc>
        <w:tc>
          <w:tcPr>
            <w:tcW w:w="12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D52EC5C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0</w:t>
            </w:r>
          </w:p>
        </w:tc>
        <w:tc>
          <w:tcPr>
            <w:tcW w:w="12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4248DB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22</w:t>
            </w:r>
          </w:p>
        </w:tc>
      </w:tr>
      <w:tr w:rsidR="004008B8" w:rsidRPr="00510CC2" w14:paraId="22185DEE" w14:textId="77777777" w:rsidTr="004008B8">
        <w:trPr>
          <w:cantSplit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4905222C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1843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64FCC348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DC7E11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 xml:space="preserve">% в Общий объём </w:t>
            </w:r>
            <w:proofErr w:type="spellStart"/>
            <w:proofErr w:type="gramStart"/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венч.инвестиций</w:t>
            </w:r>
            <w:proofErr w:type="spellEnd"/>
            <w:proofErr w:type="gramEnd"/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 xml:space="preserve"> по категориям</w:t>
            </w:r>
          </w:p>
        </w:tc>
        <w:tc>
          <w:tcPr>
            <w:tcW w:w="14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DD3501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18,2%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47579B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31,8%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F8B2E6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50,0%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F3D002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0,0%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7FCE3F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0,0%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180CF1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0,0%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B57362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100,0%</w:t>
            </w:r>
          </w:p>
        </w:tc>
      </w:tr>
      <w:tr w:rsidR="004008B8" w:rsidRPr="00510CC2" w14:paraId="764BF3DD" w14:textId="77777777" w:rsidTr="004008B8">
        <w:trPr>
          <w:cantSplit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1BD83972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1843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512096EA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24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6A4A7A4E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% общего итога</w:t>
            </w:r>
          </w:p>
        </w:tc>
        <w:tc>
          <w:tcPr>
            <w:tcW w:w="141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4642E05F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7,1%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0EA674C8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12,5%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FFFFFF"/>
            <w:vAlign w:val="center"/>
          </w:tcPr>
          <w:p w14:paraId="22DACF16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19,6%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3F473BD6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0,0%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FFFFFF"/>
            <w:vAlign w:val="center"/>
          </w:tcPr>
          <w:p w14:paraId="2ACF471A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0,0%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6CE7796C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0,0%</w:t>
            </w:r>
          </w:p>
        </w:tc>
        <w:tc>
          <w:tcPr>
            <w:tcW w:w="12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072A214B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39,3%</w:t>
            </w:r>
          </w:p>
        </w:tc>
      </w:tr>
      <w:tr w:rsidR="004008B8" w:rsidRPr="00510CC2" w14:paraId="3BD7E61B" w14:textId="77777777" w:rsidTr="004008B8">
        <w:trPr>
          <w:cantSplit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5AD75946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14:paraId="1288B32A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Средний (150-300 млн)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4E18D8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Количество</w:t>
            </w:r>
          </w:p>
        </w:tc>
        <w:tc>
          <w:tcPr>
            <w:tcW w:w="14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C1BCDFD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BA539A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9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261BFA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0C2848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71F932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71BEFE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B8E938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19</w:t>
            </w:r>
          </w:p>
        </w:tc>
      </w:tr>
      <w:tr w:rsidR="004008B8" w:rsidRPr="00510CC2" w14:paraId="3D1D707B" w14:textId="77777777" w:rsidTr="004008B8">
        <w:trPr>
          <w:cantSplit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64A36EB3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14:paraId="6CDAC182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3E9B6E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 xml:space="preserve">% в Общий объём </w:t>
            </w:r>
            <w:proofErr w:type="spellStart"/>
            <w:proofErr w:type="gramStart"/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венч.инвестиций</w:t>
            </w:r>
            <w:proofErr w:type="spellEnd"/>
            <w:proofErr w:type="gramEnd"/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 xml:space="preserve"> по категориям</w:t>
            </w:r>
          </w:p>
        </w:tc>
        <w:tc>
          <w:tcPr>
            <w:tcW w:w="14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DD8089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10,5%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98DCBD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47,4%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5917C1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21,1%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F0F976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0,0%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9F2678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10,5%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939425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10,5%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A74561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100,0%</w:t>
            </w:r>
          </w:p>
        </w:tc>
      </w:tr>
      <w:tr w:rsidR="004008B8" w:rsidRPr="00510CC2" w14:paraId="78194E40" w14:textId="77777777" w:rsidTr="004008B8">
        <w:trPr>
          <w:cantSplit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2D70FB26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14:paraId="625F99D3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24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089D1643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% общего итога</w:t>
            </w:r>
          </w:p>
        </w:tc>
        <w:tc>
          <w:tcPr>
            <w:tcW w:w="141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0D6BBD51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3,6%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794A9002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16,1%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FFFFFF"/>
            <w:vAlign w:val="center"/>
          </w:tcPr>
          <w:p w14:paraId="3C8396C9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7,1%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1F3C72D1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0,0%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FFFFFF"/>
            <w:vAlign w:val="center"/>
          </w:tcPr>
          <w:p w14:paraId="6D0D6E93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3,6%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3757F583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3,6%</w:t>
            </w:r>
          </w:p>
        </w:tc>
        <w:tc>
          <w:tcPr>
            <w:tcW w:w="12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44728306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33,9%</w:t>
            </w:r>
          </w:p>
        </w:tc>
      </w:tr>
      <w:tr w:rsidR="004008B8" w:rsidRPr="00510CC2" w14:paraId="37BD2B4E" w14:textId="77777777" w:rsidTr="004008B8">
        <w:trPr>
          <w:cantSplit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7DDBDB9E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14:paraId="76852BAA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Высокий (300+ млн)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DE90EEB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Количество</w:t>
            </w:r>
          </w:p>
        </w:tc>
        <w:tc>
          <w:tcPr>
            <w:tcW w:w="14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EE3872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F8369E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5436FE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CEA82E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16DADB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D6DDD9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09A2F4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15</w:t>
            </w:r>
          </w:p>
        </w:tc>
      </w:tr>
      <w:tr w:rsidR="004008B8" w:rsidRPr="00510CC2" w14:paraId="1E03A587" w14:textId="77777777" w:rsidTr="004008B8">
        <w:trPr>
          <w:cantSplit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6F331FCE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14:paraId="17582530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9765F3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 xml:space="preserve">% в Общий объём </w:t>
            </w:r>
            <w:proofErr w:type="spellStart"/>
            <w:proofErr w:type="gramStart"/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венч.инвестиций</w:t>
            </w:r>
            <w:proofErr w:type="spellEnd"/>
            <w:proofErr w:type="gramEnd"/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 xml:space="preserve"> по категориям</w:t>
            </w:r>
          </w:p>
        </w:tc>
        <w:tc>
          <w:tcPr>
            <w:tcW w:w="14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2EE800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0,0%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874834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13,3%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E9C48F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20,0%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26A1B4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26,7%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1644B1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20,0%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560D05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20,0%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3E6709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100,0%</w:t>
            </w:r>
          </w:p>
        </w:tc>
      </w:tr>
      <w:tr w:rsidR="004008B8" w:rsidRPr="00510CC2" w14:paraId="3E8F07BD" w14:textId="77777777" w:rsidTr="004008B8">
        <w:trPr>
          <w:cantSplit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0CF1FD0B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14:paraId="3A855009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240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275C3639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% общего итога</w:t>
            </w:r>
          </w:p>
        </w:tc>
        <w:tc>
          <w:tcPr>
            <w:tcW w:w="141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1798F117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0,0%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6165C4AA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3,6%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FFFFFF"/>
            <w:vAlign w:val="center"/>
          </w:tcPr>
          <w:p w14:paraId="18368846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5,4%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7F16A916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7,1%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FFFFFF"/>
            <w:vAlign w:val="center"/>
          </w:tcPr>
          <w:p w14:paraId="2361B205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5,4%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75F73B8F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5,4%</w:t>
            </w:r>
          </w:p>
        </w:tc>
        <w:tc>
          <w:tcPr>
            <w:tcW w:w="1276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28B4E3AC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26,8%</w:t>
            </w:r>
          </w:p>
        </w:tc>
      </w:tr>
      <w:tr w:rsidR="004008B8" w:rsidRPr="00510CC2" w14:paraId="3053A3CE" w14:textId="77777777" w:rsidTr="004008B8">
        <w:trPr>
          <w:cantSplit/>
        </w:trPr>
        <w:tc>
          <w:tcPr>
            <w:tcW w:w="3261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028B7BA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Всего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1D1ACA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Количество</w:t>
            </w:r>
          </w:p>
        </w:tc>
        <w:tc>
          <w:tcPr>
            <w:tcW w:w="14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995E0C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6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B9C1B5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18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49244D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18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029F39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A33449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5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19A18B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5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574735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56</w:t>
            </w:r>
          </w:p>
        </w:tc>
      </w:tr>
      <w:tr w:rsidR="004008B8" w:rsidRPr="00510CC2" w14:paraId="085745A6" w14:textId="77777777" w:rsidTr="004008B8">
        <w:trPr>
          <w:cantSplit/>
        </w:trPr>
        <w:tc>
          <w:tcPr>
            <w:tcW w:w="3261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3BFF0E0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888F73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 xml:space="preserve">% в Общий объём </w:t>
            </w:r>
            <w:proofErr w:type="spellStart"/>
            <w:proofErr w:type="gramStart"/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венч.инвестиций</w:t>
            </w:r>
            <w:proofErr w:type="spellEnd"/>
            <w:proofErr w:type="gramEnd"/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 xml:space="preserve"> по категориям</w:t>
            </w:r>
          </w:p>
        </w:tc>
        <w:tc>
          <w:tcPr>
            <w:tcW w:w="14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F412F5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10,7%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88153A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32,1%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A30BD7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32,1%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0A12AA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7,1%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7B029D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8,9%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200870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8,9%</w:t>
            </w:r>
          </w:p>
        </w:tc>
        <w:tc>
          <w:tcPr>
            <w:tcW w:w="12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F0B4DD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100,0%</w:t>
            </w:r>
          </w:p>
        </w:tc>
      </w:tr>
      <w:tr w:rsidR="004008B8" w:rsidRPr="00510CC2" w14:paraId="2A662224" w14:textId="77777777" w:rsidTr="004008B8">
        <w:trPr>
          <w:cantSplit/>
        </w:trPr>
        <w:tc>
          <w:tcPr>
            <w:tcW w:w="3261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717B019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2CB6ACE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% общего итога</w:t>
            </w:r>
          </w:p>
        </w:tc>
        <w:tc>
          <w:tcPr>
            <w:tcW w:w="141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0CD0B65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10,7%</w:t>
            </w:r>
          </w:p>
        </w:tc>
        <w:tc>
          <w:tcPr>
            <w:tcW w:w="12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53B0220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32,1%</w:t>
            </w:r>
          </w:p>
        </w:tc>
        <w:tc>
          <w:tcPr>
            <w:tcW w:w="14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3CD6DB4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32,1%</w:t>
            </w:r>
          </w:p>
        </w:tc>
        <w:tc>
          <w:tcPr>
            <w:tcW w:w="12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AF65155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7,1%</w:t>
            </w:r>
          </w:p>
        </w:tc>
        <w:tc>
          <w:tcPr>
            <w:tcW w:w="155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69AF388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8,9%</w:t>
            </w:r>
          </w:p>
        </w:tc>
        <w:tc>
          <w:tcPr>
            <w:tcW w:w="12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17D9774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8,9%</w:t>
            </w:r>
          </w:p>
        </w:tc>
        <w:tc>
          <w:tcPr>
            <w:tcW w:w="12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A27F81C" w14:textId="77777777" w:rsidR="004008B8" w:rsidRPr="00510CC2" w:rsidRDefault="004008B8" w:rsidP="004008B8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510CC2">
              <w:rPr>
                <w:rFonts w:ascii="Arial" w:hAnsi="Arial" w:cs="Arial"/>
                <w:color w:val="000000"/>
                <w:sz w:val="16"/>
                <w:szCs w:val="18"/>
              </w:rPr>
              <w:t>100,0%</w:t>
            </w:r>
          </w:p>
        </w:tc>
      </w:tr>
    </w:tbl>
    <w:p w14:paraId="2B387BFF" w14:textId="77777777" w:rsidR="00510CC2" w:rsidRPr="00510CC2" w:rsidRDefault="00510CC2" w:rsidP="00510CC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F9B2F7" w14:textId="77777777" w:rsidR="00510CC2" w:rsidRPr="00510CC2" w:rsidRDefault="00510CC2" w:rsidP="00510CC2">
      <w:pPr>
        <w:suppressAutoHyphens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6537296" w14:textId="77777777" w:rsidR="00510CC2" w:rsidRDefault="00510CC2" w:rsidP="00F345F1">
      <w:pPr>
        <w:suppressAutoHyphens w:val="0"/>
        <w:spacing w:after="0" w:line="360" w:lineRule="auto"/>
        <w:jc w:val="both"/>
        <w:sectPr w:rsidR="00510CC2" w:rsidSect="00BE782E">
          <w:type w:val="continuous"/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7A5FE1EB" w14:textId="77777777" w:rsidR="00934AF4" w:rsidRDefault="00B86949" w:rsidP="00074369">
      <w:pPr>
        <w:suppressAutoHyphens w:val="0"/>
        <w:spacing w:after="0" w:line="276" w:lineRule="auto"/>
        <w:jc w:val="both"/>
        <w:rPr>
          <w:rFonts w:ascii="Times New Roman" w:hAnsi="Times New Roman" w:cs="Times New Roman"/>
          <w:sz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</w:rPr>
        <w:t>Проверка двух связанных выборок (</w:t>
      </w:r>
      <w:r>
        <w:rPr>
          <w:rFonts w:ascii="Times New Roman" w:hAnsi="Times New Roman" w:cs="Times New Roman"/>
          <w:sz w:val="28"/>
          <w:szCs w:val="24"/>
        </w:rPr>
        <w:t>суммарный объём венчурных инвестиций и объём ВВП по ППС»</w:t>
      </w:r>
      <w:r>
        <w:rPr>
          <w:rFonts w:ascii="Times New Roman" w:hAnsi="Times New Roman" w:cs="Times New Roman"/>
          <w:sz w:val="28"/>
        </w:rPr>
        <w:t xml:space="preserve">) с помощью непараметрических критериев </w:t>
      </w:r>
      <w:r w:rsidR="00D9667E">
        <w:rPr>
          <w:rFonts w:ascii="Times New Roman" w:hAnsi="Times New Roman" w:cs="Times New Roman"/>
          <w:sz w:val="28"/>
        </w:rPr>
        <w:t>также выявила отсутствие взаимосвязи между выборками (нулевая гипотеза отклоняется) (рис.3).</w:t>
      </w:r>
    </w:p>
    <w:p w14:paraId="4B6AF745" w14:textId="77777777" w:rsidR="00934AF4" w:rsidRDefault="00934AF4" w:rsidP="00F345F1">
      <w:pPr>
        <w:suppressAutoHyphens w:val="0"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C95E2" wp14:editId="2DEEF052">
            <wp:extent cx="4358244" cy="2335075"/>
            <wp:effectExtent l="0" t="0" r="444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760" cy="234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CF87E" w14:textId="77777777" w:rsidR="00934AF4" w:rsidRDefault="00934AF4" w:rsidP="00F345F1">
      <w:pPr>
        <w:suppressAutoHyphens w:val="0"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863EE0" wp14:editId="3326DCFC">
            <wp:extent cx="4310742" cy="3958532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359" cy="396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5DF3A" w14:textId="77777777" w:rsidR="00934AF4" w:rsidRDefault="00934AF4" w:rsidP="00F244F0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Рис.3. </w:t>
      </w:r>
      <w:r w:rsidR="00F244F0">
        <w:rPr>
          <w:rFonts w:ascii="Times New Roman" w:hAnsi="Times New Roman" w:cs="Times New Roman"/>
          <w:sz w:val="28"/>
        </w:rPr>
        <w:t>Отсутствие взаимосвязи между выборками подтверждается как при выборе количественных переменных, так и в случае деления на категории.</w:t>
      </w:r>
    </w:p>
    <w:p w14:paraId="3C818BA9" w14:textId="77777777" w:rsidR="00F244F0" w:rsidRDefault="00F244F0" w:rsidP="00F244F0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0D7B932" w14:textId="77777777" w:rsidR="00F244F0" w:rsidRDefault="009639BF" w:rsidP="0037194E">
      <w:pPr>
        <w:pStyle w:val="2"/>
      </w:pPr>
      <w:bookmarkStart w:id="6" w:name="_Toc89784919"/>
      <w:r>
        <w:t xml:space="preserve">2.4. </w:t>
      </w:r>
      <w:r w:rsidR="0037194E">
        <w:t>Анализ корреляции объёмов венчурного инвестирования и величины экономического роста (парные корреляции)</w:t>
      </w:r>
      <w:bookmarkEnd w:id="6"/>
    </w:p>
    <w:p w14:paraId="7EE89518" w14:textId="77777777" w:rsidR="00F244F0" w:rsidRDefault="00F244F0" w:rsidP="00FA3D82">
      <w:p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BACA312" w14:textId="77777777" w:rsidR="00CF453A" w:rsidRPr="00CF453A" w:rsidRDefault="00CF453A" w:rsidP="0007436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F453A">
        <w:rPr>
          <w:rFonts w:ascii="Times New Roman" w:hAnsi="Times New Roman" w:cs="Times New Roman"/>
          <w:sz w:val="28"/>
        </w:rPr>
        <w:t xml:space="preserve">Рассмотрим парную корреляцию следующих величин: суммарного годового объёма венчурных инвестиций, годового объёма инвестиций в </w:t>
      </w:r>
      <w:r w:rsidRPr="00CF453A">
        <w:rPr>
          <w:rFonts w:ascii="Times New Roman" w:hAnsi="Times New Roman" w:cs="Times New Roman"/>
          <w:sz w:val="28"/>
        </w:rPr>
        <w:lastRenderedPageBreak/>
        <w:t>стартапы, годового объёма инвестиций в проекты на поздней стадии и показателя экономического роста (в %, переменная в_11). Так как данные количественные, используется коэффициент корреляции Пирсона.</w:t>
      </w:r>
    </w:p>
    <w:p w14:paraId="68F8AC00" w14:textId="77777777" w:rsidR="00CF453A" w:rsidRPr="00CF453A" w:rsidRDefault="00CF453A" w:rsidP="00074369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CF453A">
        <w:rPr>
          <w:rFonts w:ascii="Times New Roman" w:hAnsi="Times New Roman" w:cs="Times New Roman"/>
          <w:sz w:val="28"/>
        </w:rPr>
        <w:tab/>
        <w:t xml:space="preserve">Для исследования больше всего представляет интерес корреляция показателя экономического роста и разных объёмов венчурных инвестиций. </w:t>
      </w:r>
      <w:r w:rsidR="009639E8">
        <w:rPr>
          <w:rFonts w:ascii="Times New Roman" w:hAnsi="Times New Roman" w:cs="Times New Roman"/>
          <w:sz w:val="28"/>
        </w:rPr>
        <w:t>На основании матрицы корреляции, полученной в таблице 7</w:t>
      </w:r>
      <w:r w:rsidRPr="00CF453A">
        <w:rPr>
          <w:rFonts w:ascii="Times New Roman" w:hAnsi="Times New Roman" w:cs="Times New Roman"/>
          <w:sz w:val="28"/>
        </w:rPr>
        <w:t>,</w:t>
      </w:r>
      <w:r w:rsidR="009639E8">
        <w:rPr>
          <w:rFonts w:ascii="Times New Roman" w:hAnsi="Times New Roman" w:cs="Times New Roman"/>
          <w:sz w:val="28"/>
        </w:rPr>
        <w:t xml:space="preserve"> можно увидеть,</w:t>
      </w:r>
      <w:r w:rsidRPr="00CF453A">
        <w:rPr>
          <w:rFonts w:ascii="Times New Roman" w:hAnsi="Times New Roman" w:cs="Times New Roman"/>
          <w:sz w:val="28"/>
        </w:rPr>
        <w:t xml:space="preserve"> что корреляции между экономическим ростом и объёмом венчурных инвестиций, будь то общим, в стартапы или на поздней стадии, нет. Значения коэффициентов корреляции не значимы. Можно обратить внимание также на ожидаемую корреляцию объёма венчурных инвестиций в проекты на стадии стартапа/</w:t>
      </w:r>
      <w:r w:rsidR="00883DC1">
        <w:rPr>
          <w:rFonts w:ascii="Times New Roman" w:hAnsi="Times New Roman" w:cs="Times New Roman"/>
          <w:sz w:val="28"/>
        </w:rPr>
        <w:t>поздней</w:t>
      </w:r>
      <w:r w:rsidRPr="00CF453A">
        <w:rPr>
          <w:rFonts w:ascii="Times New Roman" w:hAnsi="Times New Roman" w:cs="Times New Roman"/>
          <w:sz w:val="28"/>
        </w:rPr>
        <w:t xml:space="preserve"> стадии и общего объёма (первые два показателя непосредственно являются частью последнего).</w:t>
      </w:r>
    </w:p>
    <w:p w14:paraId="26EB5A43" w14:textId="77777777" w:rsidR="006C122A" w:rsidRDefault="0015389B" w:rsidP="0015389B">
      <w:pPr>
        <w:suppressAutoHyphens w:val="0"/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7.</w:t>
      </w:r>
    </w:p>
    <w:tbl>
      <w:tblPr>
        <w:tblW w:w="97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1843"/>
        <w:gridCol w:w="1842"/>
        <w:gridCol w:w="1418"/>
        <w:gridCol w:w="1559"/>
        <w:gridCol w:w="1134"/>
      </w:tblGrid>
      <w:tr w:rsidR="00FA7AEC" w:rsidRPr="00196446" w14:paraId="4B9E153B" w14:textId="77777777" w:rsidTr="0059525D">
        <w:trPr>
          <w:cantSplit/>
        </w:trPr>
        <w:tc>
          <w:tcPr>
            <w:tcW w:w="97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F28326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Корреляции</w:t>
            </w:r>
          </w:p>
        </w:tc>
      </w:tr>
      <w:tr w:rsidR="00FA7AEC" w:rsidRPr="00196446" w14:paraId="64E7889A" w14:textId="77777777" w:rsidTr="00693EFC">
        <w:trPr>
          <w:cantSplit/>
        </w:trPr>
        <w:tc>
          <w:tcPr>
            <w:tcW w:w="382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0AA15CC4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B7086FE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6"/>
                <w:szCs w:val="18"/>
              </w:rPr>
              <w:t>Объём венчурных инвестиций на стадии старт-</w:t>
            </w:r>
            <w:proofErr w:type="spellStart"/>
            <w:r w:rsidRPr="00196446">
              <w:rPr>
                <w:rFonts w:ascii="Arial" w:hAnsi="Arial" w:cs="Arial"/>
                <w:color w:val="000000"/>
                <w:sz w:val="16"/>
                <w:szCs w:val="18"/>
              </w:rPr>
              <w:t>апа</w:t>
            </w:r>
            <w:proofErr w:type="spellEnd"/>
            <w:r w:rsidRPr="00196446">
              <w:rPr>
                <w:rFonts w:ascii="Arial" w:hAnsi="Arial" w:cs="Arial"/>
                <w:color w:val="000000"/>
                <w:sz w:val="16"/>
                <w:szCs w:val="18"/>
              </w:rPr>
              <w:t xml:space="preserve"> и других ранних стадиях, млн долл.</w:t>
            </w:r>
          </w:p>
        </w:tc>
        <w:tc>
          <w:tcPr>
            <w:tcW w:w="14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6F7BC87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6"/>
                <w:szCs w:val="18"/>
              </w:rPr>
              <w:t>Объём венчурных инвестиций на поздней стадии, млн долл.</w:t>
            </w:r>
          </w:p>
        </w:tc>
        <w:tc>
          <w:tcPr>
            <w:tcW w:w="155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908636D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6"/>
                <w:szCs w:val="18"/>
              </w:rPr>
              <w:t>Суммарный объём венчурных инвестиций, млн долл.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1DB4B60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6"/>
                <w:szCs w:val="18"/>
              </w:rPr>
              <w:t>Значение экономического роста (%)</w:t>
            </w:r>
          </w:p>
        </w:tc>
      </w:tr>
      <w:tr w:rsidR="00FA7AEC" w:rsidRPr="00196446" w14:paraId="2922FB45" w14:textId="77777777" w:rsidTr="00693EFC">
        <w:trPr>
          <w:cantSplit/>
        </w:trPr>
        <w:tc>
          <w:tcPr>
            <w:tcW w:w="1985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217056E9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6"/>
                <w:szCs w:val="18"/>
              </w:rPr>
              <w:t>Объём венчурных инвестиций на стадии старт-</w:t>
            </w:r>
            <w:proofErr w:type="spellStart"/>
            <w:r w:rsidRPr="00196446">
              <w:rPr>
                <w:rFonts w:ascii="Arial" w:hAnsi="Arial" w:cs="Arial"/>
                <w:color w:val="000000"/>
                <w:sz w:val="16"/>
                <w:szCs w:val="18"/>
              </w:rPr>
              <w:t>апа</w:t>
            </w:r>
            <w:proofErr w:type="spellEnd"/>
            <w:r w:rsidRPr="00196446">
              <w:rPr>
                <w:rFonts w:ascii="Arial" w:hAnsi="Arial" w:cs="Arial"/>
                <w:color w:val="000000"/>
                <w:sz w:val="16"/>
                <w:szCs w:val="18"/>
              </w:rPr>
              <w:t xml:space="preserve"> и других ранних стадиях, млн долл.</w:t>
            </w:r>
          </w:p>
        </w:tc>
        <w:tc>
          <w:tcPr>
            <w:tcW w:w="184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DC2EFC0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6"/>
                <w:szCs w:val="18"/>
              </w:rPr>
              <w:t>Корреляция Пирсона</w:t>
            </w:r>
          </w:p>
        </w:tc>
        <w:tc>
          <w:tcPr>
            <w:tcW w:w="184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74810C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287A392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,631</w:t>
            </w:r>
            <w:r w:rsidRPr="0019644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55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89AD554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,900</w:t>
            </w:r>
            <w:r w:rsidRPr="0019644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F6E7AE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-,043</w:t>
            </w:r>
          </w:p>
        </w:tc>
      </w:tr>
      <w:tr w:rsidR="00FA7AEC" w:rsidRPr="00196446" w14:paraId="64BF6354" w14:textId="77777777" w:rsidTr="00693EFC">
        <w:trPr>
          <w:cantSplit/>
        </w:trPr>
        <w:tc>
          <w:tcPr>
            <w:tcW w:w="1985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3E0E3F9D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AB30B1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6"/>
                <w:szCs w:val="18"/>
              </w:rPr>
              <w:t>Знач. (двухсторонняя)</w:t>
            </w:r>
          </w:p>
        </w:tc>
        <w:tc>
          <w:tcPr>
            <w:tcW w:w="1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77DB28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1F53BE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DC5B12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9E7A1D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,753</w:t>
            </w:r>
          </w:p>
        </w:tc>
      </w:tr>
      <w:tr w:rsidR="00FA7AEC" w:rsidRPr="00196446" w14:paraId="61940F76" w14:textId="77777777" w:rsidTr="00693EFC">
        <w:trPr>
          <w:cantSplit/>
          <w:trHeight w:val="40"/>
        </w:trPr>
        <w:tc>
          <w:tcPr>
            <w:tcW w:w="1985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1D528195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0141F278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6"/>
                <w:szCs w:val="18"/>
              </w:rPr>
              <w:t>N</w:t>
            </w:r>
          </w:p>
        </w:tc>
        <w:tc>
          <w:tcPr>
            <w:tcW w:w="184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59FFA80E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FFFFFF"/>
            <w:vAlign w:val="center"/>
          </w:tcPr>
          <w:p w14:paraId="3FDEFF59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FFFFFF"/>
            <w:vAlign w:val="center"/>
          </w:tcPr>
          <w:p w14:paraId="68F6CB9A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5EEDBDB7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</w:tr>
      <w:tr w:rsidR="00FA7AEC" w:rsidRPr="00196446" w14:paraId="1631E526" w14:textId="77777777" w:rsidTr="00693EFC">
        <w:trPr>
          <w:cantSplit/>
        </w:trPr>
        <w:tc>
          <w:tcPr>
            <w:tcW w:w="1985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082216FC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6"/>
                <w:szCs w:val="18"/>
              </w:rPr>
              <w:t>Объём венчурных инвестиций на поздней стадии, млн долл.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ED8715A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6"/>
                <w:szCs w:val="18"/>
              </w:rPr>
              <w:t>Корреляция Пирсона</w:t>
            </w:r>
          </w:p>
        </w:tc>
        <w:tc>
          <w:tcPr>
            <w:tcW w:w="1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815F30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,631</w:t>
            </w:r>
            <w:r w:rsidRPr="0019644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2D97F2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2ADAC9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,899</w:t>
            </w:r>
            <w:r w:rsidRPr="0019644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180984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-,020</w:t>
            </w:r>
          </w:p>
        </w:tc>
      </w:tr>
      <w:tr w:rsidR="00FA7AEC" w:rsidRPr="00196446" w14:paraId="0767E4C1" w14:textId="77777777" w:rsidTr="00693EFC">
        <w:trPr>
          <w:cantSplit/>
        </w:trPr>
        <w:tc>
          <w:tcPr>
            <w:tcW w:w="198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3308E44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CE87AA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6"/>
                <w:szCs w:val="18"/>
              </w:rPr>
              <w:t>Знач. (двухсторонняя)</w:t>
            </w:r>
          </w:p>
        </w:tc>
        <w:tc>
          <w:tcPr>
            <w:tcW w:w="1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37711B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FAE550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3BF2FF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E5FEAB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,884</w:t>
            </w:r>
          </w:p>
        </w:tc>
      </w:tr>
      <w:tr w:rsidR="00FA7AEC" w:rsidRPr="00196446" w14:paraId="47EA0023" w14:textId="77777777" w:rsidTr="00693EFC">
        <w:trPr>
          <w:cantSplit/>
        </w:trPr>
        <w:tc>
          <w:tcPr>
            <w:tcW w:w="198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7BF72B1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469FBB14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6"/>
                <w:szCs w:val="18"/>
              </w:rPr>
              <w:t>N</w:t>
            </w:r>
          </w:p>
        </w:tc>
        <w:tc>
          <w:tcPr>
            <w:tcW w:w="184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78D8D2BE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FFFFFF"/>
            <w:vAlign w:val="center"/>
          </w:tcPr>
          <w:p w14:paraId="3119B31E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FFFFFF"/>
            <w:vAlign w:val="center"/>
          </w:tcPr>
          <w:p w14:paraId="41F9558C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1553B8EC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</w:tr>
      <w:tr w:rsidR="00FA7AEC" w:rsidRPr="00196446" w14:paraId="6F7582AC" w14:textId="77777777" w:rsidTr="00693EFC">
        <w:trPr>
          <w:cantSplit/>
        </w:trPr>
        <w:tc>
          <w:tcPr>
            <w:tcW w:w="1985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71426B6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6"/>
                <w:szCs w:val="18"/>
              </w:rPr>
              <w:t>Суммарный объём венчурных инвестиций, млн долл.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1E18D0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6"/>
                <w:szCs w:val="18"/>
              </w:rPr>
              <w:t>Корреляция Пирсона</w:t>
            </w:r>
          </w:p>
        </w:tc>
        <w:tc>
          <w:tcPr>
            <w:tcW w:w="1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AAD7C7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,900</w:t>
            </w:r>
            <w:r w:rsidRPr="0019644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24BC91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,899</w:t>
            </w:r>
            <w:r w:rsidRPr="0019644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62E742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4EADFD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-,027</w:t>
            </w:r>
          </w:p>
        </w:tc>
      </w:tr>
      <w:tr w:rsidR="00FA7AEC" w:rsidRPr="00196446" w14:paraId="780B5E22" w14:textId="77777777" w:rsidTr="00693EFC">
        <w:trPr>
          <w:cantSplit/>
        </w:trPr>
        <w:tc>
          <w:tcPr>
            <w:tcW w:w="198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0A22F06E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6E6DD2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6"/>
                <w:szCs w:val="18"/>
              </w:rPr>
              <w:t>Знач. (двухсторонняя)</w:t>
            </w:r>
          </w:p>
        </w:tc>
        <w:tc>
          <w:tcPr>
            <w:tcW w:w="1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780488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5296F8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767F76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04A3C4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,844</w:t>
            </w:r>
          </w:p>
        </w:tc>
      </w:tr>
      <w:tr w:rsidR="00FA7AEC" w:rsidRPr="00196446" w14:paraId="37B79598" w14:textId="77777777" w:rsidTr="00693EFC">
        <w:trPr>
          <w:cantSplit/>
        </w:trPr>
        <w:tc>
          <w:tcPr>
            <w:tcW w:w="1985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67272693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63FFC8B7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6"/>
                <w:szCs w:val="18"/>
              </w:rPr>
              <w:t>N</w:t>
            </w:r>
          </w:p>
        </w:tc>
        <w:tc>
          <w:tcPr>
            <w:tcW w:w="1842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66C40339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FFFFFF"/>
            <w:vAlign w:val="center"/>
          </w:tcPr>
          <w:p w14:paraId="08BC8D62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FFFFFF"/>
            <w:vAlign w:val="center"/>
          </w:tcPr>
          <w:p w14:paraId="44889CC0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47F25BC6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</w:tr>
      <w:tr w:rsidR="00FA7AEC" w:rsidRPr="00196446" w14:paraId="3C149AB9" w14:textId="77777777" w:rsidTr="00693EFC">
        <w:trPr>
          <w:cantSplit/>
        </w:trPr>
        <w:tc>
          <w:tcPr>
            <w:tcW w:w="198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8F2B9D2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6"/>
                <w:szCs w:val="18"/>
              </w:rPr>
              <w:t>Значение экономического роста (%)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CF5959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6"/>
                <w:szCs w:val="18"/>
              </w:rPr>
              <w:t>Корреляция Пирсона</w:t>
            </w:r>
          </w:p>
        </w:tc>
        <w:tc>
          <w:tcPr>
            <w:tcW w:w="1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A37DAD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-,043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194797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-,020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DC3B5C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-,027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DDE12F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FA7AEC" w:rsidRPr="00196446" w14:paraId="089A4268" w14:textId="77777777" w:rsidTr="00693EFC">
        <w:trPr>
          <w:cantSplit/>
        </w:trPr>
        <w:tc>
          <w:tcPr>
            <w:tcW w:w="198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D808318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6323265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6"/>
                <w:szCs w:val="18"/>
              </w:rPr>
              <w:t>Знач. (двухсторонняя)</w:t>
            </w:r>
          </w:p>
        </w:tc>
        <w:tc>
          <w:tcPr>
            <w:tcW w:w="1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C41E24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,753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C50F91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,884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F2E1E6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,844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D1258D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AEC" w:rsidRPr="00196446" w14:paraId="47EE2937" w14:textId="77777777" w:rsidTr="00693EFC">
        <w:trPr>
          <w:cantSplit/>
        </w:trPr>
        <w:tc>
          <w:tcPr>
            <w:tcW w:w="198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0F23B64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7DD3A3B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6"/>
                <w:szCs w:val="18"/>
              </w:rPr>
              <w:t>N</w:t>
            </w:r>
          </w:p>
        </w:tc>
        <w:tc>
          <w:tcPr>
            <w:tcW w:w="184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D0FA72D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41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C8D3699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55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0746FD7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DF34015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</w:tr>
      <w:tr w:rsidR="00FA7AEC" w:rsidRPr="00196446" w14:paraId="79505CC0" w14:textId="77777777" w:rsidTr="0059525D">
        <w:trPr>
          <w:cantSplit/>
        </w:trPr>
        <w:tc>
          <w:tcPr>
            <w:tcW w:w="97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0022E" w14:textId="77777777" w:rsidR="00FA7AEC" w:rsidRPr="00196446" w:rsidRDefault="00FA7AEC" w:rsidP="00FA7AEC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6446">
              <w:rPr>
                <w:rFonts w:ascii="Arial" w:hAnsi="Arial" w:cs="Arial"/>
                <w:color w:val="000000"/>
                <w:sz w:val="18"/>
                <w:szCs w:val="18"/>
              </w:rPr>
              <w:t>**. Корреляция значима на уровне 0,01 (двухсторонняя).</w:t>
            </w:r>
          </w:p>
        </w:tc>
      </w:tr>
    </w:tbl>
    <w:p w14:paraId="1B031AE1" w14:textId="77777777" w:rsidR="00FA7AEC" w:rsidRDefault="00FA7AEC" w:rsidP="00FA3D82">
      <w:p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12AD738" w14:textId="77777777" w:rsidR="00FA7AEC" w:rsidRDefault="00FA7AEC" w:rsidP="00FA3D82">
      <w:p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38F6300" w14:textId="7DBC589E" w:rsidR="008B650E" w:rsidRPr="00483BBD" w:rsidRDefault="009639BF" w:rsidP="00A55AAA">
      <w:pPr>
        <w:pStyle w:val="2"/>
      </w:pPr>
      <w:bookmarkStart w:id="7" w:name="_Toc89784920"/>
      <w:r>
        <w:t xml:space="preserve">2.5. </w:t>
      </w:r>
      <w:r w:rsidR="00252DAE">
        <w:t>Анализ данных методом иерархической кластеризации</w:t>
      </w:r>
      <w:r w:rsidR="00074369">
        <w:t>.</w:t>
      </w:r>
      <w:r w:rsidR="00970FC4">
        <w:t xml:space="preserve"> </w:t>
      </w:r>
      <w:r w:rsidR="00074369">
        <w:t>И</w:t>
      </w:r>
      <w:r w:rsidR="00970FC4">
        <w:t>зучение зависимости</w:t>
      </w:r>
      <w:r w:rsidR="00D7650E">
        <w:t xml:space="preserve"> венчурных инвестиций</w:t>
      </w:r>
      <w:r w:rsidR="00970FC4">
        <w:t xml:space="preserve"> </w:t>
      </w:r>
      <w:r w:rsidR="00483BBD">
        <w:t xml:space="preserve">от </w:t>
      </w:r>
      <w:r w:rsidR="00483BBD">
        <w:rPr>
          <w:lang w:val="en-US"/>
        </w:rPr>
        <w:t>R</w:t>
      </w:r>
      <w:r w:rsidR="00483BBD" w:rsidRPr="00483BBD">
        <w:t>&amp;</w:t>
      </w:r>
      <w:r w:rsidR="00483BBD">
        <w:rPr>
          <w:lang w:val="en-US"/>
        </w:rPr>
        <w:t>D</w:t>
      </w:r>
      <w:bookmarkEnd w:id="7"/>
    </w:p>
    <w:p w14:paraId="6ED5C0CD" w14:textId="77777777" w:rsidR="008B650E" w:rsidRDefault="008B650E" w:rsidP="00FA3D82">
      <w:p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9527575" w14:textId="77777777" w:rsidR="00304342" w:rsidRPr="004C4F03" w:rsidRDefault="00D31872" w:rsidP="00074369">
      <w:pPr>
        <w:suppressAutoHyphens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="0059525D" w:rsidRPr="004C4F03">
        <w:rPr>
          <w:rFonts w:ascii="Times New Roman" w:hAnsi="Times New Roman" w:cs="Times New Roman"/>
          <w:sz w:val="28"/>
          <w:szCs w:val="28"/>
        </w:rPr>
        <w:t xml:space="preserve">Иерархический метод </w:t>
      </w:r>
      <w:r w:rsidR="00883DC1" w:rsidRPr="004C4F03">
        <w:rPr>
          <w:rFonts w:ascii="Times New Roman" w:hAnsi="Times New Roman" w:cs="Times New Roman"/>
          <w:sz w:val="28"/>
          <w:szCs w:val="28"/>
        </w:rPr>
        <w:t>кластерного анализа используется для данных с малым количеством наблюдений (в нашем случае их 56)</w:t>
      </w:r>
      <w:r w:rsidR="009673EC" w:rsidRPr="004C4F03">
        <w:rPr>
          <w:rFonts w:ascii="Times New Roman" w:hAnsi="Times New Roman" w:cs="Times New Roman"/>
          <w:sz w:val="28"/>
          <w:szCs w:val="28"/>
        </w:rPr>
        <w:t xml:space="preserve"> и количественными переменными. Для качественного проведения кластерного анализа будут использоваться </w:t>
      </w:r>
      <w:r w:rsidR="00F6048B" w:rsidRPr="004C4F03">
        <w:rPr>
          <w:rFonts w:ascii="Times New Roman" w:hAnsi="Times New Roman" w:cs="Times New Roman"/>
          <w:sz w:val="28"/>
          <w:szCs w:val="28"/>
        </w:rPr>
        <w:t xml:space="preserve">количественные переменные, </w:t>
      </w:r>
      <w:r w:rsidR="00304342" w:rsidRPr="004C4F03">
        <w:rPr>
          <w:rFonts w:ascii="Times New Roman" w:hAnsi="Times New Roman" w:cs="Times New Roman"/>
          <w:sz w:val="28"/>
          <w:szCs w:val="28"/>
        </w:rPr>
        <w:t>имеющие одну единицу измерения, то есть:</w:t>
      </w:r>
    </w:p>
    <w:p w14:paraId="0B70BC16" w14:textId="77777777" w:rsidR="00DC3B9D" w:rsidRPr="004C4F03" w:rsidRDefault="00304342" w:rsidP="0007436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4F03">
        <w:rPr>
          <w:rFonts w:ascii="Times New Roman" w:hAnsi="Times New Roman" w:cs="Times New Roman"/>
          <w:sz w:val="28"/>
          <w:szCs w:val="28"/>
        </w:rPr>
        <w:tab/>
      </w:r>
      <w:r w:rsidR="00DC3B9D" w:rsidRPr="004C4F03">
        <w:rPr>
          <w:rFonts w:ascii="Times New Roman" w:hAnsi="Times New Roman" w:cs="Times New Roman"/>
          <w:sz w:val="28"/>
          <w:szCs w:val="28"/>
        </w:rPr>
        <w:t>в_3 - Объём посевных инвестиций, млн долл.</w:t>
      </w:r>
    </w:p>
    <w:p w14:paraId="7EEC3C67" w14:textId="77777777" w:rsidR="00DC3B9D" w:rsidRPr="004C4F03" w:rsidRDefault="00DC3B9D" w:rsidP="0007436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F03">
        <w:rPr>
          <w:rFonts w:ascii="Times New Roman" w:hAnsi="Times New Roman" w:cs="Times New Roman"/>
          <w:sz w:val="28"/>
          <w:szCs w:val="28"/>
        </w:rPr>
        <w:lastRenderedPageBreak/>
        <w:t>в_4 - Объём венчурных инвестиций на стадии стартапа и других ранних стадиях, млн долл.</w:t>
      </w:r>
    </w:p>
    <w:p w14:paraId="47D64643" w14:textId="77777777" w:rsidR="00DC3B9D" w:rsidRPr="004C4F03" w:rsidRDefault="00DC3B9D" w:rsidP="0007436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F03">
        <w:rPr>
          <w:rFonts w:ascii="Times New Roman" w:hAnsi="Times New Roman" w:cs="Times New Roman"/>
          <w:sz w:val="28"/>
          <w:szCs w:val="28"/>
        </w:rPr>
        <w:t>в_5 - Объём венчурных инвестиций на поздней стадии, млн долл.</w:t>
      </w:r>
    </w:p>
    <w:p w14:paraId="02524226" w14:textId="5A68C43E" w:rsidR="00DC3B9D" w:rsidRPr="004C4F03" w:rsidRDefault="00DC3B9D" w:rsidP="0007436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F03">
        <w:rPr>
          <w:rFonts w:ascii="Times New Roman" w:hAnsi="Times New Roman" w:cs="Times New Roman"/>
          <w:sz w:val="28"/>
          <w:szCs w:val="28"/>
        </w:rPr>
        <w:t>в_6 - Суммарный объём венчурных инвестиций, млн до</w:t>
      </w:r>
      <w:r w:rsidR="00BE2DC4">
        <w:rPr>
          <w:rFonts w:ascii="Times New Roman" w:hAnsi="Times New Roman" w:cs="Times New Roman"/>
          <w:sz w:val="28"/>
          <w:szCs w:val="28"/>
        </w:rPr>
        <w:t>лл.</w:t>
      </w:r>
    </w:p>
    <w:p w14:paraId="28C05C0F" w14:textId="77777777" w:rsidR="00DC3B9D" w:rsidRPr="004C4F03" w:rsidRDefault="00DC3B9D" w:rsidP="0007436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F03">
        <w:rPr>
          <w:rFonts w:ascii="Times New Roman" w:hAnsi="Times New Roman" w:cs="Times New Roman"/>
          <w:sz w:val="28"/>
          <w:szCs w:val="28"/>
        </w:rPr>
        <w:t xml:space="preserve">в_12 - ВВП (ППС, в ценах 2017, млн </w:t>
      </w:r>
      <w:proofErr w:type="spellStart"/>
      <w:r w:rsidRPr="004C4F03">
        <w:rPr>
          <w:rFonts w:ascii="Times New Roman" w:hAnsi="Times New Roman" w:cs="Times New Roman"/>
          <w:sz w:val="28"/>
          <w:szCs w:val="28"/>
        </w:rPr>
        <w:t>долл</w:t>
      </w:r>
      <w:proofErr w:type="spellEnd"/>
      <w:r w:rsidRPr="004C4F03">
        <w:rPr>
          <w:rFonts w:ascii="Times New Roman" w:hAnsi="Times New Roman" w:cs="Times New Roman"/>
          <w:sz w:val="28"/>
          <w:szCs w:val="28"/>
        </w:rPr>
        <w:t>).</w:t>
      </w:r>
    </w:p>
    <w:p w14:paraId="76988463" w14:textId="77777777" w:rsidR="00DC3B9D" w:rsidRPr="004C4F03" w:rsidRDefault="00DC3B9D" w:rsidP="0007436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F03">
        <w:rPr>
          <w:rFonts w:ascii="Times New Roman" w:hAnsi="Times New Roman" w:cs="Times New Roman"/>
          <w:sz w:val="28"/>
          <w:szCs w:val="28"/>
        </w:rPr>
        <w:t>в_14 - Расходы на R&amp;D, млн долл.</w:t>
      </w:r>
    </w:p>
    <w:p w14:paraId="4B599535" w14:textId="0596DAF3" w:rsidR="0011671C" w:rsidRPr="004C4F03" w:rsidRDefault="0011671C" w:rsidP="0007436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F03">
        <w:rPr>
          <w:rFonts w:ascii="Times New Roman" w:hAnsi="Times New Roman" w:cs="Times New Roman"/>
          <w:sz w:val="28"/>
          <w:szCs w:val="28"/>
        </w:rPr>
        <w:t xml:space="preserve">Данные по </w:t>
      </w:r>
      <w:r w:rsidRPr="004C4F0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C4F03">
        <w:rPr>
          <w:rFonts w:ascii="Times New Roman" w:hAnsi="Times New Roman" w:cs="Times New Roman"/>
          <w:sz w:val="28"/>
          <w:szCs w:val="28"/>
        </w:rPr>
        <w:t>&amp;</w:t>
      </w:r>
      <w:r w:rsidRPr="004C4F0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C4F03">
        <w:rPr>
          <w:rFonts w:ascii="Times New Roman" w:hAnsi="Times New Roman" w:cs="Times New Roman"/>
          <w:sz w:val="28"/>
          <w:szCs w:val="28"/>
        </w:rPr>
        <w:t xml:space="preserve"> доступны в период с 2007 по 2018 год включительно, поэтому кластерный анализ будет совершен только для соответствующих наблюдений.</w:t>
      </w:r>
      <w:r w:rsidR="0039039C">
        <w:rPr>
          <w:rFonts w:ascii="Times New Roman" w:hAnsi="Times New Roman" w:cs="Times New Roman"/>
          <w:sz w:val="28"/>
          <w:szCs w:val="28"/>
        </w:rPr>
        <w:t xml:space="preserve"> Он осуществляется</w:t>
      </w:r>
      <w:r w:rsidRPr="004C4F03">
        <w:rPr>
          <w:rFonts w:ascii="Times New Roman" w:hAnsi="Times New Roman" w:cs="Times New Roman"/>
          <w:sz w:val="28"/>
          <w:szCs w:val="28"/>
        </w:rPr>
        <w:t xml:space="preserve"> по методу межгрупповой связи (мера количественная (хи-квадрат)).</w:t>
      </w:r>
    </w:p>
    <w:p w14:paraId="541BD21C" w14:textId="41EF4D96" w:rsidR="00DC3B9D" w:rsidRDefault="001C1BCC" w:rsidP="0007436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Дендрограмма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3741CF" w:rsidRPr="003741CF">
        <w:rPr>
          <w:rFonts w:ascii="Times New Roman" w:hAnsi="Times New Roman" w:cs="Times New Roman"/>
          <w:sz w:val="28"/>
        </w:rPr>
        <w:t>(</w:t>
      </w:r>
      <w:r w:rsidR="003741CF">
        <w:rPr>
          <w:rFonts w:ascii="Times New Roman" w:hAnsi="Times New Roman" w:cs="Times New Roman"/>
          <w:sz w:val="28"/>
        </w:rPr>
        <w:t xml:space="preserve">рис.3) </w:t>
      </w:r>
      <w:r>
        <w:rPr>
          <w:rFonts w:ascii="Times New Roman" w:hAnsi="Times New Roman" w:cs="Times New Roman"/>
          <w:sz w:val="28"/>
        </w:rPr>
        <w:t>и таблица порядка агломерации</w:t>
      </w:r>
      <w:r w:rsidR="00611A89" w:rsidRPr="00611A89">
        <w:rPr>
          <w:rFonts w:ascii="Times New Roman" w:hAnsi="Times New Roman" w:cs="Times New Roman"/>
          <w:sz w:val="28"/>
        </w:rPr>
        <w:t xml:space="preserve"> </w:t>
      </w:r>
      <w:r w:rsidR="00611A89">
        <w:rPr>
          <w:rFonts w:ascii="Times New Roman" w:hAnsi="Times New Roman" w:cs="Times New Roman"/>
          <w:sz w:val="28"/>
        </w:rPr>
        <w:t>указывают на существование двух кластеров. Однако возможно и более мелкое разделение на кластеры – вплоть до 5.</w:t>
      </w:r>
    </w:p>
    <w:p w14:paraId="4259B5ED" w14:textId="77777777" w:rsidR="00BE2DC4" w:rsidRPr="00611A89" w:rsidRDefault="00BE2DC4" w:rsidP="00DC3B9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14:paraId="4A5857A9" w14:textId="003D6615" w:rsidR="00304342" w:rsidRPr="00F6048B" w:rsidRDefault="00BE2DC4" w:rsidP="00FA3D82">
      <w:p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1D8CB" wp14:editId="05BFCA7E">
            <wp:extent cx="2672207" cy="4978594"/>
            <wp:effectExtent l="889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76019" cy="498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BFEB" w14:textId="77777777" w:rsidR="008B650E" w:rsidRPr="00CF453A" w:rsidRDefault="008B650E" w:rsidP="00FA3D82">
      <w:p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1808686" w14:textId="77777777" w:rsidR="00835CF1" w:rsidRDefault="00A8706C" w:rsidP="003741CF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Рис.3. </w:t>
      </w:r>
      <w:proofErr w:type="spellStart"/>
      <w:r w:rsidR="003741CF">
        <w:rPr>
          <w:rFonts w:ascii="Times New Roman" w:hAnsi="Times New Roman" w:cs="Times New Roman"/>
          <w:sz w:val="28"/>
        </w:rPr>
        <w:t>Д</w:t>
      </w:r>
      <w:r w:rsidR="004A4E1A">
        <w:rPr>
          <w:rFonts w:ascii="Times New Roman" w:hAnsi="Times New Roman" w:cs="Times New Roman"/>
          <w:sz w:val="28"/>
        </w:rPr>
        <w:t>ендро</w:t>
      </w:r>
      <w:r w:rsidR="003741CF">
        <w:rPr>
          <w:rFonts w:ascii="Times New Roman" w:hAnsi="Times New Roman" w:cs="Times New Roman"/>
          <w:sz w:val="28"/>
        </w:rPr>
        <w:t>грамма</w:t>
      </w:r>
      <w:proofErr w:type="spellEnd"/>
      <w:r w:rsidR="003741CF">
        <w:rPr>
          <w:rFonts w:ascii="Times New Roman" w:hAnsi="Times New Roman" w:cs="Times New Roman"/>
          <w:sz w:val="28"/>
        </w:rPr>
        <w:t xml:space="preserve"> с использованием метода межгрупповых связей.</w:t>
      </w:r>
    </w:p>
    <w:p w14:paraId="5AA8BA62" w14:textId="5B3FAE5E" w:rsidR="00AB02FF" w:rsidRDefault="009236B3" w:rsidP="007C74FC">
      <w:pPr>
        <w:suppressAutoHyphens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2207DB">
        <w:rPr>
          <w:rFonts w:ascii="Times New Roman" w:hAnsi="Times New Roman" w:cs="Times New Roman"/>
          <w:sz w:val="28"/>
          <w:szCs w:val="28"/>
        </w:rPr>
        <w:t>Разбиение на 3</w:t>
      </w:r>
      <w:r w:rsidR="0043168F" w:rsidRPr="0043168F">
        <w:rPr>
          <w:rFonts w:ascii="Times New Roman" w:hAnsi="Times New Roman" w:cs="Times New Roman"/>
          <w:sz w:val="28"/>
          <w:szCs w:val="28"/>
        </w:rPr>
        <w:t xml:space="preserve"> (</w:t>
      </w:r>
      <w:r w:rsidR="0043168F">
        <w:rPr>
          <w:rFonts w:ascii="Times New Roman" w:hAnsi="Times New Roman" w:cs="Times New Roman"/>
          <w:sz w:val="28"/>
          <w:szCs w:val="28"/>
        </w:rPr>
        <w:t>Таблица 9)</w:t>
      </w:r>
      <w:r w:rsidR="002207DB">
        <w:rPr>
          <w:rFonts w:ascii="Times New Roman" w:hAnsi="Times New Roman" w:cs="Times New Roman"/>
          <w:sz w:val="28"/>
          <w:szCs w:val="28"/>
        </w:rPr>
        <w:t xml:space="preserve"> и 4</w:t>
      </w:r>
      <w:r w:rsidR="0043168F">
        <w:rPr>
          <w:rFonts w:ascii="Times New Roman" w:hAnsi="Times New Roman" w:cs="Times New Roman"/>
          <w:sz w:val="28"/>
          <w:szCs w:val="28"/>
        </w:rPr>
        <w:t xml:space="preserve"> (Таблица 10)</w:t>
      </w:r>
      <w:r w:rsidR="002207DB">
        <w:rPr>
          <w:rFonts w:ascii="Times New Roman" w:hAnsi="Times New Roman" w:cs="Times New Roman"/>
          <w:sz w:val="28"/>
          <w:szCs w:val="28"/>
        </w:rPr>
        <w:t xml:space="preserve"> кластера привело к тому, что один из них содержит лишь два наблюдения. При разбиении на 5 кластеров</w:t>
      </w:r>
      <w:r w:rsidR="004C1C2A">
        <w:rPr>
          <w:rFonts w:ascii="Times New Roman" w:hAnsi="Times New Roman" w:cs="Times New Roman"/>
          <w:sz w:val="28"/>
          <w:szCs w:val="28"/>
        </w:rPr>
        <w:t xml:space="preserve"> (Таблица 8)</w:t>
      </w:r>
      <w:r w:rsidR="002207DB">
        <w:rPr>
          <w:rFonts w:ascii="Times New Roman" w:hAnsi="Times New Roman" w:cs="Times New Roman"/>
          <w:sz w:val="28"/>
          <w:szCs w:val="28"/>
        </w:rPr>
        <w:t xml:space="preserve"> один из них тоже имеет 2 наблюдения, однако остальные представлены в целом более широко.</w:t>
      </w:r>
    </w:p>
    <w:p w14:paraId="0629B1E7" w14:textId="4FE4F016" w:rsidR="00C80917" w:rsidRPr="002207DB" w:rsidRDefault="00C80917" w:rsidP="00C80917">
      <w:pPr>
        <w:suppressAutoHyphens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C1C2A">
        <w:rPr>
          <w:rFonts w:ascii="Times New Roman" w:hAnsi="Times New Roman" w:cs="Times New Roman"/>
          <w:sz w:val="28"/>
          <w:szCs w:val="28"/>
        </w:rPr>
        <w:t>8.</w:t>
      </w:r>
      <w:r w:rsidR="00B22F15">
        <w:rPr>
          <w:rFonts w:ascii="Times New Roman" w:hAnsi="Times New Roman" w:cs="Times New Roman"/>
          <w:sz w:val="28"/>
          <w:szCs w:val="28"/>
        </w:rPr>
        <w:t xml:space="preserve"> Разделение на 5 кластеров.</w:t>
      </w:r>
    </w:p>
    <w:p w14:paraId="43E78468" w14:textId="5A6D8075" w:rsidR="00BC7CA8" w:rsidRDefault="00BC7CA8" w:rsidP="00AB02FF">
      <w:pPr>
        <w:suppressAutoHyphens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tbl>
      <w:tblPr>
        <w:tblW w:w="10773" w:type="dxa"/>
        <w:tblInd w:w="-9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418"/>
        <w:gridCol w:w="1701"/>
        <w:gridCol w:w="1417"/>
        <w:gridCol w:w="1276"/>
        <w:gridCol w:w="1417"/>
        <w:gridCol w:w="1134"/>
      </w:tblGrid>
      <w:tr w:rsidR="006B39B3" w:rsidRPr="005E1569" w14:paraId="1C36D59D" w14:textId="77777777" w:rsidTr="006B39B3">
        <w:trPr>
          <w:cantSplit/>
        </w:trPr>
        <w:tc>
          <w:tcPr>
            <w:tcW w:w="107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A997F2" w14:textId="005B9099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Объём посевных инвестиций, млн долл. Объём венчурных инвестиций на стадии старт-</w:t>
            </w:r>
            <w:proofErr w:type="spellStart"/>
            <w:r w:rsidRPr="005E156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апа</w:t>
            </w:r>
            <w:proofErr w:type="spellEnd"/>
            <w:r w:rsidRPr="005E156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и других ранних стадиях, млн долл. Объём венчурных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инвестиций</w:t>
            </w:r>
            <w:r w:rsidRPr="005E156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на поздней стадии, млн долл. Суммарный объём венчурных инвестиций, млн долл. ВВП (ППС, в ценах 2017, млн </w:t>
            </w:r>
            <w:proofErr w:type="spellStart"/>
            <w:r w:rsidRPr="005E156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долл</w:t>
            </w:r>
            <w:proofErr w:type="spellEnd"/>
            <w:r w:rsidRPr="005E156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) Расходы на R&amp;D, млн </w:t>
            </w:r>
            <w:proofErr w:type="spellStart"/>
            <w:r w:rsidRPr="005E156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долл</w:t>
            </w:r>
            <w:proofErr w:type="spellEnd"/>
            <w:r w:rsidRPr="005E156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 * </w:t>
            </w:r>
            <w:proofErr w:type="spellStart"/>
            <w:r w:rsidRPr="005E156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Average</w:t>
            </w:r>
            <w:proofErr w:type="spellEnd"/>
            <w:r w:rsidRPr="005E156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E156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Linkage</w:t>
            </w:r>
            <w:proofErr w:type="spellEnd"/>
            <w:r w:rsidRPr="005E156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5E156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Between</w:t>
            </w:r>
            <w:proofErr w:type="spellEnd"/>
            <w:r w:rsidRPr="005E156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E156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Groups</w:t>
            </w:r>
            <w:proofErr w:type="spellEnd"/>
            <w:r w:rsidRPr="005E156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)5</w:t>
            </w:r>
          </w:p>
        </w:tc>
      </w:tr>
      <w:tr w:rsidR="006B39B3" w:rsidRPr="005E1569" w14:paraId="46680E9F" w14:textId="77777777" w:rsidTr="006B39B3">
        <w:trPr>
          <w:cantSplit/>
          <w:trHeight w:val="1668"/>
        </w:trPr>
        <w:tc>
          <w:tcPr>
            <w:tcW w:w="24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7EADB26F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Average</w:t>
            </w:r>
            <w:proofErr w:type="spellEnd"/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Linkage</w:t>
            </w:r>
            <w:proofErr w:type="spellEnd"/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Between</w:t>
            </w:r>
            <w:proofErr w:type="spellEnd"/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Groups</w:t>
            </w:r>
            <w:proofErr w:type="spellEnd"/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)5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8A35AB0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Объём посевных инвестиций, млн долл.</w:t>
            </w:r>
          </w:p>
        </w:tc>
        <w:tc>
          <w:tcPr>
            <w:tcW w:w="170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DDAF045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Объём венчурных инвестиций на стадии старт-</w:t>
            </w:r>
            <w:proofErr w:type="spellStart"/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апа</w:t>
            </w:r>
            <w:proofErr w:type="spellEnd"/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 xml:space="preserve"> и других ранних стадиях, млн долл.</w:t>
            </w:r>
          </w:p>
        </w:tc>
        <w:tc>
          <w:tcPr>
            <w:tcW w:w="14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3407B35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Объём венчурных инвестиций на поздней стадии, млн долл.</w:t>
            </w:r>
          </w:p>
        </w:tc>
        <w:tc>
          <w:tcPr>
            <w:tcW w:w="12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BC3688F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Суммарный объём венчурных инвестиций, млн долл.</w:t>
            </w:r>
          </w:p>
        </w:tc>
        <w:tc>
          <w:tcPr>
            <w:tcW w:w="14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28F1AA8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 xml:space="preserve">ВВП (ППС, в ценах 2017, млн </w:t>
            </w:r>
            <w:proofErr w:type="spellStart"/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долл</w:t>
            </w:r>
            <w:proofErr w:type="spellEnd"/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6FE574D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 xml:space="preserve">Расходы на R&amp;D, млн </w:t>
            </w:r>
            <w:proofErr w:type="spellStart"/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долл</w:t>
            </w:r>
            <w:proofErr w:type="spellEnd"/>
          </w:p>
        </w:tc>
      </w:tr>
      <w:tr w:rsidR="006B39B3" w:rsidRPr="005E1569" w14:paraId="0A51E2D4" w14:textId="77777777" w:rsidTr="006B39B3">
        <w:trPr>
          <w:cantSplit/>
        </w:trPr>
        <w:tc>
          <w:tcPr>
            <w:tcW w:w="851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2105C7F3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D4751D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Среднее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9DD072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10,20250</w:t>
            </w:r>
          </w:p>
        </w:tc>
        <w:tc>
          <w:tcPr>
            <w:tcW w:w="170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B528972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116,47013</w:t>
            </w:r>
          </w:p>
        </w:tc>
        <w:tc>
          <w:tcPr>
            <w:tcW w:w="14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86FA0C6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69,38338</w:t>
            </w:r>
          </w:p>
        </w:tc>
        <w:tc>
          <w:tcPr>
            <w:tcW w:w="12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D7794EA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196,05600</w:t>
            </w:r>
          </w:p>
        </w:tc>
        <w:tc>
          <w:tcPr>
            <w:tcW w:w="14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F988556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306438,4797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401426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5022,5749</w:t>
            </w:r>
          </w:p>
        </w:tc>
      </w:tr>
      <w:tr w:rsidR="006B39B3" w:rsidRPr="005E1569" w14:paraId="5EA06639" w14:textId="77777777" w:rsidTr="006B39B3">
        <w:trPr>
          <w:cantSplit/>
        </w:trPr>
        <w:tc>
          <w:tcPr>
            <w:tcW w:w="85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02779D83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E24A6F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14E65BC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A1ACDF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71BD1A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708355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6B3B81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D6A5B8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6B39B3" w:rsidRPr="005E1569" w14:paraId="33753207" w14:textId="77777777" w:rsidTr="006B39B3">
        <w:trPr>
          <w:cantSplit/>
        </w:trPr>
        <w:tc>
          <w:tcPr>
            <w:tcW w:w="85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4A7E8594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72D755AE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Стандартное отклонение</w:t>
            </w:r>
          </w:p>
        </w:tc>
        <w:tc>
          <w:tcPr>
            <w:tcW w:w="141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49FEE906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13,278427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14:paraId="533E6BE9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41,883849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FFFFFF"/>
            <w:vAlign w:val="center"/>
          </w:tcPr>
          <w:p w14:paraId="1CBEB698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46,236152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5B6F9CBD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89,676799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FFFFFF"/>
            <w:vAlign w:val="center"/>
          </w:tcPr>
          <w:p w14:paraId="63DCEF5A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7956,18602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2DD730BB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259,12838</w:t>
            </w:r>
          </w:p>
        </w:tc>
      </w:tr>
      <w:tr w:rsidR="006B39B3" w:rsidRPr="005E1569" w14:paraId="35360FE5" w14:textId="77777777" w:rsidTr="006B39B3">
        <w:trPr>
          <w:cantSplit/>
        </w:trPr>
        <w:tc>
          <w:tcPr>
            <w:tcW w:w="851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20D03F2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5D26BE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Среднее</w:t>
            </w:r>
          </w:p>
        </w:tc>
        <w:tc>
          <w:tcPr>
            <w:tcW w:w="14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A419F8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9,53725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851BDA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45,73625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8A7573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40,15875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C8B556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95,43225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E1880B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334226,5838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2D0C1A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6814,6122</w:t>
            </w:r>
          </w:p>
        </w:tc>
      </w:tr>
      <w:tr w:rsidR="006B39B3" w:rsidRPr="005E1569" w14:paraId="5E335736" w14:textId="77777777" w:rsidTr="006B39B3">
        <w:trPr>
          <w:cantSplit/>
        </w:trPr>
        <w:tc>
          <w:tcPr>
            <w:tcW w:w="851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60CA4D9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1CFECF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682D48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9DF414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A983B2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2E3B1A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9E1C74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B656F9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6B39B3" w:rsidRPr="005E1569" w14:paraId="3B48D97A" w14:textId="77777777" w:rsidTr="006B39B3">
        <w:trPr>
          <w:cantSplit/>
        </w:trPr>
        <w:tc>
          <w:tcPr>
            <w:tcW w:w="851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2A59AC4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562F3D79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Стандартное отклонение</w:t>
            </w:r>
          </w:p>
        </w:tc>
        <w:tc>
          <w:tcPr>
            <w:tcW w:w="141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6D5636ED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9,200348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14:paraId="1F86187D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14,147446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FFFFFF"/>
            <w:vAlign w:val="center"/>
          </w:tcPr>
          <w:p w14:paraId="76662695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14,291518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47E324A7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16,572573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FFFFFF"/>
            <w:vAlign w:val="center"/>
          </w:tcPr>
          <w:p w14:paraId="700204B0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6863,76541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187AD4F7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363,21293</w:t>
            </w:r>
          </w:p>
        </w:tc>
      </w:tr>
      <w:tr w:rsidR="006B39B3" w:rsidRPr="005E1569" w14:paraId="21C3A5C7" w14:textId="77777777" w:rsidTr="006B39B3">
        <w:trPr>
          <w:cantSplit/>
        </w:trPr>
        <w:tc>
          <w:tcPr>
            <w:tcW w:w="851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4CBFDAD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CFC650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Среднее</w:t>
            </w:r>
          </w:p>
        </w:tc>
        <w:tc>
          <w:tcPr>
            <w:tcW w:w="14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F7DDA1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17,63250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FE38EA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305,72100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DA312B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262,20300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9CEF06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585,55650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8AA00F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443206,7105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2B21FC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14855,1081</w:t>
            </w:r>
          </w:p>
        </w:tc>
      </w:tr>
      <w:tr w:rsidR="006B39B3" w:rsidRPr="005E1569" w14:paraId="104DE748" w14:textId="77777777" w:rsidTr="006B39B3">
        <w:trPr>
          <w:cantSplit/>
        </w:trPr>
        <w:tc>
          <w:tcPr>
            <w:tcW w:w="851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69BB85FA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A0FBAFC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85365B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830E9D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D4506F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1EA365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6F10D7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E5D5F4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6B39B3" w:rsidRPr="005E1569" w14:paraId="09FE0C1E" w14:textId="77777777" w:rsidTr="006B39B3">
        <w:trPr>
          <w:cantSplit/>
        </w:trPr>
        <w:tc>
          <w:tcPr>
            <w:tcW w:w="851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7AE6F61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19F394E3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Стандартное отклонение</w:t>
            </w:r>
          </w:p>
        </w:tc>
        <w:tc>
          <w:tcPr>
            <w:tcW w:w="141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30A3883B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6,397195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14:paraId="0CAE0904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25,421903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FFFFFF"/>
            <w:vAlign w:val="center"/>
          </w:tcPr>
          <w:p w14:paraId="0B9CA02B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,834386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12B95090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18,190322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FFFFFF"/>
            <w:vAlign w:val="center"/>
          </w:tcPr>
          <w:p w14:paraId="6A546DF7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1415,21603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440B8BC6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692,17291</w:t>
            </w:r>
          </w:p>
        </w:tc>
      </w:tr>
      <w:tr w:rsidR="006B39B3" w:rsidRPr="005E1569" w14:paraId="3FB7F7D1" w14:textId="77777777" w:rsidTr="006B39B3">
        <w:trPr>
          <w:cantSplit/>
        </w:trPr>
        <w:tc>
          <w:tcPr>
            <w:tcW w:w="851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2237E90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BB45D5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Среднее</w:t>
            </w:r>
          </w:p>
        </w:tc>
        <w:tc>
          <w:tcPr>
            <w:tcW w:w="14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72EF64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11,05169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56C88F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103,70803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59121C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83,02362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186EE7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197,78334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634645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341912,8325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8BA14E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10936,8932</w:t>
            </w:r>
          </w:p>
        </w:tc>
      </w:tr>
      <w:tr w:rsidR="006B39B3" w:rsidRPr="005E1569" w14:paraId="0DEBB010" w14:textId="77777777" w:rsidTr="006B39B3">
        <w:trPr>
          <w:cantSplit/>
        </w:trPr>
        <w:tc>
          <w:tcPr>
            <w:tcW w:w="851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0FAAD589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CE9C9F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C5B4DEA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C8CECB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B211D8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636BF9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322DDD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163B3F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</w:tr>
      <w:tr w:rsidR="006B39B3" w:rsidRPr="005E1569" w14:paraId="1611AA83" w14:textId="77777777" w:rsidTr="006B39B3">
        <w:trPr>
          <w:cantSplit/>
        </w:trPr>
        <w:tc>
          <w:tcPr>
            <w:tcW w:w="851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5CE16ED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6E525604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Стандартное отклонение</w:t>
            </w:r>
          </w:p>
        </w:tc>
        <w:tc>
          <w:tcPr>
            <w:tcW w:w="141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67BAC213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7,676495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14:paraId="02B43F07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53,260400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FFFFFF"/>
            <w:vAlign w:val="center"/>
          </w:tcPr>
          <w:p w14:paraId="57E2A723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61,348182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2D32E161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112,333220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FFFFFF"/>
            <w:vAlign w:val="center"/>
          </w:tcPr>
          <w:p w14:paraId="13FD13CB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105727,37698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6EED0625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3574,75989</w:t>
            </w:r>
          </w:p>
        </w:tc>
      </w:tr>
      <w:tr w:rsidR="006B39B3" w:rsidRPr="005E1569" w14:paraId="032AC2EB" w14:textId="77777777" w:rsidTr="006B39B3">
        <w:trPr>
          <w:cantSplit/>
        </w:trPr>
        <w:tc>
          <w:tcPr>
            <w:tcW w:w="851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EC71AD0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5C7261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Среднее</w:t>
            </w:r>
          </w:p>
        </w:tc>
        <w:tc>
          <w:tcPr>
            <w:tcW w:w="14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9CE4C2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24,95220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00A126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115,26300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32EAE6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129,88880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6A46F5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270,10400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30F0D5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292179,9009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93EE53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8210,0100</w:t>
            </w:r>
          </w:p>
        </w:tc>
      </w:tr>
      <w:tr w:rsidR="006B39B3" w:rsidRPr="005E1569" w14:paraId="7F665106" w14:textId="77777777" w:rsidTr="006B39B3">
        <w:trPr>
          <w:cantSplit/>
        </w:trPr>
        <w:tc>
          <w:tcPr>
            <w:tcW w:w="851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A845FE7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5FF30A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FBBA78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2D86C1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976903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A47C32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3D576A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4F61C4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6B39B3" w:rsidRPr="005E1569" w14:paraId="259D7302" w14:textId="77777777" w:rsidTr="006B39B3">
        <w:trPr>
          <w:cantSplit/>
        </w:trPr>
        <w:tc>
          <w:tcPr>
            <w:tcW w:w="851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33F558F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7FC20485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Стандартное отклонение</w:t>
            </w:r>
          </w:p>
        </w:tc>
        <w:tc>
          <w:tcPr>
            <w:tcW w:w="141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51345DA6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33,950037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14:paraId="60F9828B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41,386244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FFFFFF"/>
            <w:vAlign w:val="center"/>
          </w:tcPr>
          <w:p w14:paraId="5F11F525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26,381542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4EF686CC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58,159267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FFFFFF"/>
            <w:vAlign w:val="center"/>
          </w:tcPr>
          <w:p w14:paraId="629E31B3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21825,83534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69E587F3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1049,73592</w:t>
            </w:r>
          </w:p>
        </w:tc>
      </w:tr>
      <w:tr w:rsidR="006B39B3" w:rsidRPr="005E1569" w14:paraId="3E5BA0F4" w14:textId="77777777" w:rsidTr="006B39B3">
        <w:trPr>
          <w:cantSplit/>
        </w:trPr>
        <w:tc>
          <w:tcPr>
            <w:tcW w:w="851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451E5A0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E2F30E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Среднее</w:t>
            </w:r>
          </w:p>
        </w:tc>
        <w:tc>
          <w:tcPr>
            <w:tcW w:w="14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934850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12,50613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49F203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110,62492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D64BD6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89,52577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28160D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212,65681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E2CB3C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334399,9842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9BA6D3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9486,8587</w:t>
            </w:r>
          </w:p>
        </w:tc>
      </w:tr>
      <w:tr w:rsidR="006B39B3" w:rsidRPr="005E1569" w14:paraId="658EC5E3" w14:textId="77777777" w:rsidTr="006B39B3">
        <w:trPr>
          <w:cantSplit/>
        </w:trPr>
        <w:tc>
          <w:tcPr>
            <w:tcW w:w="851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C3A823C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A33095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8B9679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1891B2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9A4F87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E9BD2A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0AED44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3D3108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6B39B3" w:rsidRPr="005E1569" w14:paraId="365813B1" w14:textId="77777777" w:rsidTr="006B39B3">
        <w:trPr>
          <w:cantSplit/>
        </w:trPr>
        <w:tc>
          <w:tcPr>
            <w:tcW w:w="851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14A8855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35CE9D1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Стандартное отклонение</w:t>
            </w:r>
          </w:p>
        </w:tc>
        <w:tc>
          <w:tcPr>
            <w:tcW w:w="141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E82AE98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13,648817</w:t>
            </w:r>
          </w:p>
        </w:tc>
        <w:tc>
          <w:tcPr>
            <w:tcW w:w="170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670FBD9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64,336224</w:t>
            </w:r>
          </w:p>
        </w:tc>
        <w:tc>
          <w:tcPr>
            <w:tcW w:w="14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77A8CC5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66,162849</w:t>
            </w:r>
          </w:p>
        </w:tc>
        <w:tc>
          <w:tcPr>
            <w:tcW w:w="12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37752B6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129,030684</w:t>
            </w:r>
          </w:p>
        </w:tc>
        <w:tc>
          <w:tcPr>
            <w:tcW w:w="14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3ACCE3B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87027,25381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7709D86" w14:textId="77777777" w:rsidR="006B39B3" w:rsidRPr="005E1569" w:rsidRDefault="006B39B3" w:rsidP="006B39B3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E1569">
              <w:rPr>
                <w:rFonts w:ascii="Arial" w:hAnsi="Arial" w:cs="Arial"/>
                <w:color w:val="000000"/>
                <w:sz w:val="18"/>
                <w:szCs w:val="18"/>
              </w:rPr>
              <w:t>3799,01355</w:t>
            </w:r>
          </w:p>
        </w:tc>
      </w:tr>
    </w:tbl>
    <w:p w14:paraId="35E5DE86" w14:textId="4E96823C" w:rsidR="006B39B3" w:rsidRDefault="006B39B3" w:rsidP="00AB02FF">
      <w:pPr>
        <w:suppressAutoHyphens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E97D89F" w14:textId="77777777" w:rsidR="00492485" w:rsidRDefault="00492485" w:rsidP="007C74F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Первый кластер характеризуется самым низким средним значением расходов на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5E1569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, одним из самых низких значений посевных инвестиций (наряду с кластером 2, который является предпоследним по показателю расходов на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5E1569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). При этом в нём одно из самых высоких средних значений инвестиций на стадии стартапа.</w:t>
      </w:r>
    </w:p>
    <w:p w14:paraId="625E19D6" w14:textId="77777777" w:rsidR="00492485" w:rsidRDefault="00492485" w:rsidP="007C74F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Два наблюдения с самыми высокими значениями расходов на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1D05A7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1D05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ВВП были выделены в отдельный кластер (3). Характеризуются самой высокой венчурной активностью на стадии стартапа, поздних стадиях и самым значительным совокупным объёмом привлеченных средств.</w:t>
      </w:r>
    </w:p>
    <w:p w14:paraId="0239D3F5" w14:textId="06171E8E" w:rsidR="00492485" w:rsidRDefault="00492485" w:rsidP="007C74F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Кластеры 4 и 5 характеризуются высокими значениями ВВП (в 4 высокое значение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ст.отклонения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) и расходов на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F33176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F3317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Однако для 5 кластера при относительно меньших значениях ВВП и расходов на разработки свойственно более высокое значение по всем видам инвестиций. Исследовав принадлежность наблюдений к кластерам, можно увидеть, что все наблюдения, кроме одного, характеризуют венчурные инвестиции в Дании. Ещё одно – в Финляндии (причём за 2018 год, аналогичное значение за 2018 </w:t>
      </w:r>
      <w:r>
        <w:rPr>
          <w:rFonts w:ascii="Times New Roman" w:hAnsi="Times New Roman" w:cs="Times New Roman"/>
          <w:sz w:val="28"/>
        </w:rPr>
        <w:lastRenderedPageBreak/>
        <w:t>год в Дании также входит в 5-й кластер – в обоих странах показатели в этом году выходили на свои исторические максимумы). 4-й кластер содержит большую часть наблюдений из Дании и Финляндии за рассматриваемый период, что ведёт к предположению, что динамика венчурной активности в этих странах имеет схожий характер.</w:t>
      </w:r>
    </w:p>
    <w:p w14:paraId="7F8517C5" w14:textId="77777777" w:rsidR="00492485" w:rsidRDefault="00492485" w:rsidP="007C74F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Разделение на 5 кластеров даёт нам одно важное наблюдение – меньший объём вложений в разработки и исследования приводит к вялой активности на рынке посевных инвестиций (в проекты «с нуля»).</w:t>
      </w:r>
    </w:p>
    <w:p w14:paraId="01B727A3" w14:textId="168556A6" w:rsidR="001B02D0" w:rsidRDefault="001B02D0" w:rsidP="007C74F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разбиении на 4 кластера (Таблица </w:t>
      </w:r>
      <w:r w:rsidR="00A8498E">
        <w:rPr>
          <w:rFonts w:ascii="Times New Roman" w:hAnsi="Times New Roman" w:cs="Times New Roman"/>
          <w:sz w:val="28"/>
        </w:rPr>
        <w:t>9)</w:t>
      </w:r>
      <w:r>
        <w:rPr>
          <w:rFonts w:ascii="Times New Roman" w:hAnsi="Times New Roman" w:cs="Times New Roman"/>
          <w:sz w:val="28"/>
        </w:rPr>
        <w:t xml:space="preserve"> 4-й и 5-й из предыдущего примера</w:t>
      </w:r>
      <w:r w:rsidR="00A8498E">
        <w:rPr>
          <w:rFonts w:ascii="Times New Roman" w:hAnsi="Times New Roman" w:cs="Times New Roman"/>
          <w:sz w:val="28"/>
        </w:rPr>
        <w:t xml:space="preserve"> (Таблица 8)</w:t>
      </w:r>
      <w:r>
        <w:rPr>
          <w:rFonts w:ascii="Times New Roman" w:hAnsi="Times New Roman" w:cs="Times New Roman"/>
          <w:sz w:val="28"/>
        </w:rPr>
        <w:t xml:space="preserve"> были объединены в один. В большинстве своём большим значениям ВВП и расходов на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035DB2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035D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соответствует и большие значения инвестиций (по стадиям и в целом). Первые два кластера аналогичны случаю с 5-ю кластерами. Обратим внимание, что первый кластер соответствует Норвегии в период с 2007 по 2014 год, второй – ей же в период с 2015 по 2018 год (к слову, третий кластер соответствует «докризисной» Швеции 2007-2008). Можно увидеть, что второй кластер характеризует худший период норвежского рынка венчурных инвестиций: при </w:t>
      </w:r>
      <w:proofErr w:type="spellStart"/>
      <w:r>
        <w:rPr>
          <w:rFonts w:ascii="Times New Roman" w:hAnsi="Times New Roman" w:cs="Times New Roman"/>
          <w:sz w:val="28"/>
        </w:rPr>
        <w:t>бОльших</w:t>
      </w:r>
      <w:proofErr w:type="spellEnd"/>
      <w:r>
        <w:rPr>
          <w:rFonts w:ascii="Times New Roman" w:hAnsi="Times New Roman" w:cs="Times New Roman"/>
          <w:sz w:val="28"/>
        </w:rPr>
        <w:t xml:space="preserve"> значениях ВВП и расходов на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821DDB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821D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все средние стоимостные объёмы венчурных инвестиций заметно уменьшились.</w:t>
      </w:r>
    </w:p>
    <w:p w14:paraId="0A008797" w14:textId="33898BA2" w:rsidR="00735556" w:rsidRPr="00735556" w:rsidRDefault="00735556" w:rsidP="00735556">
      <w:pPr>
        <w:suppressAutoHyphens w:val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9.</w:t>
      </w:r>
      <w:r w:rsidR="00B22F15">
        <w:rPr>
          <w:rFonts w:ascii="Times New Roman" w:hAnsi="Times New Roman" w:cs="Times New Roman"/>
          <w:sz w:val="28"/>
        </w:rPr>
        <w:t xml:space="preserve"> Разделение на 4 кластера.</w:t>
      </w:r>
    </w:p>
    <w:tbl>
      <w:tblPr>
        <w:tblW w:w="10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134"/>
        <w:gridCol w:w="1701"/>
        <w:gridCol w:w="1417"/>
        <w:gridCol w:w="1276"/>
        <w:gridCol w:w="1276"/>
        <w:gridCol w:w="1134"/>
      </w:tblGrid>
      <w:tr w:rsidR="003022D8" w:rsidRPr="006566B4" w14:paraId="2884D81A" w14:textId="77777777" w:rsidTr="00D17E68">
        <w:trPr>
          <w:cantSplit/>
        </w:trPr>
        <w:tc>
          <w:tcPr>
            <w:tcW w:w="100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0C0E13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Объём посевных инвестиций, млн долл. Объём венчурных инвестиций на стадии старт-</w:t>
            </w:r>
            <w:proofErr w:type="spellStart"/>
            <w:r w:rsidRPr="006566B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апа</w:t>
            </w:r>
            <w:proofErr w:type="spellEnd"/>
            <w:r w:rsidRPr="006566B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и других ранних стадиях, млн долл. Объём венчурных инвестиций на поздней стадии, млн долл. Суммарный объём венчурных инвестиций, млн долл. ВВП (ППС, в ценах 2017, млн </w:t>
            </w:r>
            <w:proofErr w:type="spellStart"/>
            <w:r w:rsidRPr="006566B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долл</w:t>
            </w:r>
            <w:proofErr w:type="spellEnd"/>
            <w:r w:rsidRPr="006566B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) Расходы на R&amp;D, млн </w:t>
            </w:r>
            <w:proofErr w:type="spellStart"/>
            <w:r w:rsidRPr="006566B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долл</w:t>
            </w:r>
            <w:proofErr w:type="spellEnd"/>
            <w:r w:rsidRPr="006566B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 * </w:t>
            </w:r>
            <w:proofErr w:type="spellStart"/>
            <w:r w:rsidRPr="006566B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Average</w:t>
            </w:r>
            <w:proofErr w:type="spellEnd"/>
            <w:r w:rsidRPr="006566B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566B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Linkage</w:t>
            </w:r>
            <w:proofErr w:type="spellEnd"/>
            <w:r w:rsidRPr="006566B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6566B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Between</w:t>
            </w:r>
            <w:proofErr w:type="spellEnd"/>
            <w:r w:rsidRPr="006566B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566B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Groups</w:t>
            </w:r>
            <w:proofErr w:type="spellEnd"/>
            <w:r w:rsidRPr="006566B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)4</w:t>
            </w:r>
          </w:p>
        </w:tc>
      </w:tr>
      <w:tr w:rsidR="00D17E68" w:rsidRPr="006566B4" w14:paraId="48002FD7" w14:textId="77777777" w:rsidTr="00D17E68">
        <w:trPr>
          <w:cantSplit/>
        </w:trPr>
        <w:tc>
          <w:tcPr>
            <w:tcW w:w="212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0B633830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Average</w:t>
            </w:r>
            <w:proofErr w:type="spellEnd"/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Linkage</w:t>
            </w:r>
            <w:proofErr w:type="spellEnd"/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Between</w:t>
            </w:r>
            <w:proofErr w:type="spellEnd"/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Groups</w:t>
            </w:r>
            <w:proofErr w:type="spellEnd"/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)4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86F3BA3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Объём посевных инвестиций, млн долл.</w:t>
            </w:r>
          </w:p>
        </w:tc>
        <w:tc>
          <w:tcPr>
            <w:tcW w:w="170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E4FD0E0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Объём венчурных инвестиций на стадии старт-</w:t>
            </w:r>
            <w:proofErr w:type="spellStart"/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апа</w:t>
            </w:r>
            <w:proofErr w:type="spellEnd"/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 xml:space="preserve"> и других ранних стадиях, млн долл.</w:t>
            </w:r>
          </w:p>
        </w:tc>
        <w:tc>
          <w:tcPr>
            <w:tcW w:w="14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70D1A89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Объём венчурных инвестиций на поздней стадии, млн долл.</w:t>
            </w:r>
          </w:p>
        </w:tc>
        <w:tc>
          <w:tcPr>
            <w:tcW w:w="12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CBFC899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Суммарный объём венчурных инвестиций, млн долл.</w:t>
            </w:r>
          </w:p>
        </w:tc>
        <w:tc>
          <w:tcPr>
            <w:tcW w:w="12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47F4C5B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 xml:space="preserve">ВВП (ППС, в ценах 2017, млн </w:t>
            </w:r>
            <w:proofErr w:type="spellStart"/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долл</w:t>
            </w:r>
            <w:proofErr w:type="spellEnd"/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2A1106F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 xml:space="preserve">Расходы на R&amp;D, млн </w:t>
            </w:r>
            <w:proofErr w:type="spellStart"/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долл</w:t>
            </w:r>
            <w:proofErr w:type="spellEnd"/>
          </w:p>
        </w:tc>
      </w:tr>
      <w:tr w:rsidR="003022D8" w:rsidRPr="006566B4" w14:paraId="503E897A" w14:textId="77777777" w:rsidTr="00D17E68">
        <w:trPr>
          <w:cantSplit/>
        </w:trPr>
        <w:tc>
          <w:tcPr>
            <w:tcW w:w="851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4A3829D1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A9012D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Среднее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9F1BC6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10,20250</w:t>
            </w:r>
          </w:p>
        </w:tc>
        <w:tc>
          <w:tcPr>
            <w:tcW w:w="170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7F96182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116,47013</w:t>
            </w:r>
          </w:p>
        </w:tc>
        <w:tc>
          <w:tcPr>
            <w:tcW w:w="14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51E8541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69,38338</w:t>
            </w:r>
          </w:p>
        </w:tc>
        <w:tc>
          <w:tcPr>
            <w:tcW w:w="12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EEADDF6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196,05600</w:t>
            </w:r>
          </w:p>
        </w:tc>
        <w:tc>
          <w:tcPr>
            <w:tcW w:w="12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3520DEB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306438,4797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ECCB43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5022,5749</w:t>
            </w:r>
          </w:p>
        </w:tc>
      </w:tr>
      <w:tr w:rsidR="003022D8" w:rsidRPr="006566B4" w14:paraId="6DF89DFA" w14:textId="77777777" w:rsidTr="00D17E68">
        <w:trPr>
          <w:cantSplit/>
        </w:trPr>
        <w:tc>
          <w:tcPr>
            <w:tcW w:w="85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0A2CF9BF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75C17E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8CE5F4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5E79C3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72098D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E54CA6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BA61C2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452711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022D8" w:rsidRPr="006566B4" w14:paraId="22D761DC" w14:textId="77777777" w:rsidTr="00D17E68">
        <w:trPr>
          <w:cantSplit/>
        </w:trPr>
        <w:tc>
          <w:tcPr>
            <w:tcW w:w="851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75D161C0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7C9FEC2C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Стандартное отклонение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1E3443B4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13,278427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14:paraId="561623A3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41,883849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FFFFFF"/>
            <w:vAlign w:val="center"/>
          </w:tcPr>
          <w:p w14:paraId="2A61F67D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46,236152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0B39DDD3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89,676799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45FF94E9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7956,18602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79007D64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259,12838</w:t>
            </w:r>
          </w:p>
        </w:tc>
      </w:tr>
      <w:tr w:rsidR="003022D8" w:rsidRPr="006566B4" w14:paraId="34135062" w14:textId="77777777" w:rsidTr="00D17E68">
        <w:trPr>
          <w:cantSplit/>
        </w:trPr>
        <w:tc>
          <w:tcPr>
            <w:tcW w:w="851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BD20A91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EC27C2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Среднее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5BDF11B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9,53725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D7520E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45,73625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73B43D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40,15875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D630C6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95,43225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19E0A3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334226,5838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CBBCB5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6814,6122</w:t>
            </w:r>
          </w:p>
        </w:tc>
      </w:tr>
      <w:tr w:rsidR="003022D8" w:rsidRPr="006566B4" w14:paraId="4004946E" w14:textId="77777777" w:rsidTr="00D17E68">
        <w:trPr>
          <w:cantSplit/>
        </w:trPr>
        <w:tc>
          <w:tcPr>
            <w:tcW w:w="851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63FF9744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5AF979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2174C4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896CED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24A540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E46A54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D00FCD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FB0BE8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022D8" w:rsidRPr="006566B4" w14:paraId="6CA5CDAA" w14:textId="77777777" w:rsidTr="00D17E68">
        <w:trPr>
          <w:cantSplit/>
        </w:trPr>
        <w:tc>
          <w:tcPr>
            <w:tcW w:w="851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0ABF0EF0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5EACD1E5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Стандартное отклонение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26FD2DB0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9,200348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14:paraId="59CE7734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14,147446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FFFFFF"/>
            <w:vAlign w:val="center"/>
          </w:tcPr>
          <w:p w14:paraId="60BFDD8E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14,291518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3BA37E5B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16,572573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0A3346DF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6863,76541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6C329C5F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363,21293</w:t>
            </w:r>
          </w:p>
        </w:tc>
      </w:tr>
      <w:tr w:rsidR="003022D8" w:rsidRPr="006566B4" w14:paraId="7040BEED" w14:textId="77777777" w:rsidTr="00D17E68">
        <w:trPr>
          <w:cantSplit/>
        </w:trPr>
        <w:tc>
          <w:tcPr>
            <w:tcW w:w="851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FCFD4FD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2ACCD8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Среднее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0159A1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17,63250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D84330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305,72100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967023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262,20300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58D78A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585,55650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51A765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443206,7105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8F9481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14855,1081</w:t>
            </w:r>
          </w:p>
        </w:tc>
      </w:tr>
      <w:tr w:rsidR="003022D8" w:rsidRPr="006566B4" w14:paraId="31C12570" w14:textId="77777777" w:rsidTr="00D17E68">
        <w:trPr>
          <w:cantSplit/>
        </w:trPr>
        <w:tc>
          <w:tcPr>
            <w:tcW w:w="851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EE96E6C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3E2DD4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70FCF3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A4D571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9CF764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CB78AB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E10615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B34094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022D8" w:rsidRPr="006566B4" w14:paraId="2B3659D6" w14:textId="77777777" w:rsidTr="00D17E68">
        <w:trPr>
          <w:cantSplit/>
        </w:trPr>
        <w:tc>
          <w:tcPr>
            <w:tcW w:w="851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59C611F4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1EABAD70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Стандартное отклонение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3B295577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6,397195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14:paraId="3BC07D6A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25,421903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FFFFFF"/>
            <w:vAlign w:val="center"/>
          </w:tcPr>
          <w:p w14:paraId="62981469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,834386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7F53F63A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18,190322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531A1976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1415,21603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2B4FB097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692,17291</w:t>
            </w:r>
          </w:p>
        </w:tc>
      </w:tr>
      <w:tr w:rsidR="003022D8" w:rsidRPr="006566B4" w14:paraId="5001669F" w14:textId="77777777" w:rsidTr="00D17E68">
        <w:trPr>
          <w:cantSplit/>
        </w:trPr>
        <w:tc>
          <w:tcPr>
            <w:tcW w:w="851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5F213D6F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3EAB3C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Среднее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3BE375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13,09588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91BDFE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105,40729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32A5D8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89,91556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1130E0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208,41874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8CE050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334599,1661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8615DC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10535,8810</w:t>
            </w:r>
          </w:p>
        </w:tc>
      </w:tr>
      <w:tr w:rsidR="003022D8" w:rsidRPr="006566B4" w14:paraId="5580C0F3" w14:textId="77777777" w:rsidTr="00D17E68">
        <w:trPr>
          <w:cantSplit/>
        </w:trPr>
        <w:tc>
          <w:tcPr>
            <w:tcW w:w="851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60CAC976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9F9CB1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4B1090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C72B1E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CE10B1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631444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0D56DB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CA0DD1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</w:tr>
      <w:tr w:rsidR="003022D8" w:rsidRPr="006566B4" w14:paraId="0CEC5CE1" w14:textId="77777777" w:rsidTr="00D17E68">
        <w:trPr>
          <w:cantSplit/>
        </w:trPr>
        <w:tc>
          <w:tcPr>
            <w:tcW w:w="851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77702B1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3BAF2707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Стандартное отклонение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49791281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14,651988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14:paraId="44C7CC55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51,300500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FFFFFF"/>
            <w:vAlign w:val="center"/>
          </w:tcPr>
          <w:p w14:paraId="3FF6C12E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59,678810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785DD58D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108,594417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42D68C3E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99307,51616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3BCEF07A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3455,03194</w:t>
            </w:r>
          </w:p>
        </w:tc>
      </w:tr>
      <w:tr w:rsidR="003022D8" w:rsidRPr="006566B4" w14:paraId="1D9502AE" w14:textId="77777777" w:rsidTr="00D17E68">
        <w:trPr>
          <w:cantSplit/>
        </w:trPr>
        <w:tc>
          <w:tcPr>
            <w:tcW w:w="851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2B3CE12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6F57A6F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Среднее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66AB66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12,50613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CA2EF0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110,62492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778096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89,52577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8CB457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212,65681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EF29C5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334399,9842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22654D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9486,8587</w:t>
            </w:r>
          </w:p>
        </w:tc>
      </w:tr>
      <w:tr w:rsidR="003022D8" w:rsidRPr="006566B4" w14:paraId="07B82143" w14:textId="77777777" w:rsidTr="00D17E68">
        <w:trPr>
          <w:cantSplit/>
        </w:trPr>
        <w:tc>
          <w:tcPr>
            <w:tcW w:w="851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894A087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DF5AA5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A552AB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61452A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A703F9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502546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B2D10A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0A219C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3022D8" w:rsidRPr="006566B4" w14:paraId="38F1F8AA" w14:textId="77777777" w:rsidTr="00D17E68">
        <w:trPr>
          <w:cantSplit/>
        </w:trPr>
        <w:tc>
          <w:tcPr>
            <w:tcW w:w="851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DE0B4AC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0800033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Стандартное отклонение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9949CEF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13,648817</w:t>
            </w:r>
          </w:p>
        </w:tc>
        <w:tc>
          <w:tcPr>
            <w:tcW w:w="170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5557921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64,336224</w:t>
            </w:r>
          </w:p>
        </w:tc>
        <w:tc>
          <w:tcPr>
            <w:tcW w:w="14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B14CE04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66,162849</w:t>
            </w:r>
          </w:p>
        </w:tc>
        <w:tc>
          <w:tcPr>
            <w:tcW w:w="12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8303FEC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129,030684</w:t>
            </w:r>
          </w:p>
        </w:tc>
        <w:tc>
          <w:tcPr>
            <w:tcW w:w="12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E114415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87027,25381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76DC381" w14:textId="77777777" w:rsidR="003022D8" w:rsidRPr="006566B4" w:rsidRDefault="003022D8" w:rsidP="004315F6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66B4">
              <w:rPr>
                <w:rFonts w:ascii="Arial" w:hAnsi="Arial" w:cs="Arial"/>
                <w:color w:val="000000"/>
                <w:sz w:val="18"/>
                <w:szCs w:val="18"/>
              </w:rPr>
              <w:t>3799,01355</w:t>
            </w:r>
          </w:p>
        </w:tc>
      </w:tr>
    </w:tbl>
    <w:p w14:paraId="7FB239F5" w14:textId="6ED545FA" w:rsidR="00BC7CA8" w:rsidRDefault="00BC7CA8" w:rsidP="00AB02FF">
      <w:pPr>
        <w:suppressAutoHyphens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2979D00" w14:textId="05D93368" w:rsidR="00E367A6" w:rsidRPr="004B5FC8" w:rsidRDefault="00E367A6" w:rsidP="007C74F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разбиении на 3 кластера (Таблица 10) 1-й и 2-й кластер из предыдущего разбиения (Таблица 9) объединяются, таким образом, 1-й кластер полностью соответствует показателям Норвегии. 2-й – «докризисной» Швеции, 3-й – остальным наблюдениям по Швеции, Дании и Финляндии. Стоит заметить, что существенное превосходство последних трёх стран над Норвегией в контексте расходов на разработки не приводит к столь </w:t>
      </w:r>
      <w:r w:rsidR="001B1CD1">
        <w:rPr>
          <w:rFonts w:ascii="Times New Roman" w:hAnsi="Times New Roman" w:cs="Times New Roman"/>
          <w:sz w:val="28"/>
        </w:rPr>
        <w:t xml:space="preserve">же </w:t>
      </w:r>
      <w:r>
        <w:rPr>
          <w:rFonts w:ascii="Times New Roman" w:hAnsi="Times New Roman" w:cs="Times New Roman"/>
          <w:sz w:val="28"/>
        </w:rPr>
        <w:t>значительному перевесу в области венчурных инвестиций в стартапы (по остальным видам и в совокупности разница более существенна).</w:t>
      </w:r>
    </w:p>
    <w:p w14:paraId="06EA78D1" w14:textId="6C29B12E" w:rsidR="005007B4" w:rsidRDefault="005007B4" w:rsidP="00AB02FF">
      <w:pPr>
        <w:suppressAutoHyphens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67F27F3" w14:textId="10FE4BA1" w:rsidR="005007B4" w:rsidRPr="00F4526A" w:rsidRDefault="005007B4" w:rsidP="005007B4">
      <w:pPr>
        <w:suppressAutoHyphens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Таблица 10. Разделение на 3 кластера.</w:t>
      </w:r>
    </w:p>
    <w:tbl>
      <w:tblPr>
        <w:tblW w:w="9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276"/>
        <w:gridCol w:w="1701"/>
        <w:gridCol w:w="1275"/>
        <w:gridCol w:w="1276"/>
        <w:gridCol w:w="1276"/>
        <w:gridCol w:w="1134"/>
      </w:tblGrid>
      <w:tr w:rsidR="005007B4" w:rsidRPr="004B5FC8" w14:paraId="5863C836" w14:textId="77777777" w:rsidTr="005007B4">
        <w:trPr>
          <w:cantSplit/>
        </w:trPr>
        <w:tc>
          <w:tcPr>
            <w:tcW w:w="99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BDF4C3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Объём посевных инвестиций, млн долл. Объём венчурных инвестиций на стадии старт-</w:t>
            </w:r>
            <w:proofErr w:type="spellStart"/>
            <w:r w:rsidRPr="004B5FC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апа</w:t>
            </w:r>
            <w:proofErr w:type="spellEnd"/>
            <w:r w:rsidRPr="004B5FC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и других ранних стадиях, млн долл. Объём венчурных инвестиций на поздней стадии, млн долл. Суммарный объём венчурных инвестиций, млн долл. ВВП (ППС, в ценах 2017, млн </w:t>
            </w:r>
            <w:proofErr w:type="spellStart"/>
            <w:r w:rsidRPr="004B5FC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долл</w:t>
            </w:r>
            <w:proofErr w:type="spellEnd"/>
            <w:r w:rsidRPr="004B5FC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) Расходы на R&amp;D, млн </w:t>
            </w:r>
            <w:proofErr w:type="spellStart"/>
            <w:r w:rsidRPr="004B5FC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долл</w:t>
            </w:r>
            <w:proofErr w:type="spellEnd"/>
            <w:r w:rsidRPr="004B5FC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 * </w:t>
            </w:r>
            <w:proofErr w:type="spellStart"/>
            <w:r w:rsidRPr="004B5FC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Average</w:t>
            </w:r>
            <w:proofErr w:type="spellEnd"/>
            <w:r w:rsidRPr="004B5FC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5FC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Linkage</w:t>
            </w:r>
            <w:proofErr w:type="spellEnd"/>
            <w:r w:rsidRPr="004B5FC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4B5FC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Between</w:t>
            </w:r>
            <w:proofErr w:type="spellEnd"/>
            <w:r w:rsidRPr="004B5FC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5FC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Groups</w:t>
            </w:r>
            <w:proofErr w:type="spellEnd"/>
            <w:r w:rsidRPr="004B5FC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)3</w:t>
            </w:r>
          </w:p>
        </w:tc>
      </w:tr>
      <w:tr w:rsidR="005007B4" w:rsidRPr="004B5FC8" w14:paraId="39A47B3B" w14:textId="77777777" w:rsidTr="005007B4">
        <w:trPr>
          <w:cantSplit/>
        </w:trPr>
        <w:tc>
          <w:tcPr>
            <w:tcW w:w="198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0704A4B3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Average</w:t>
            </w:r>
            <w:proofErr w:type="spellEnd"/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Linkage</w:t>
            </w:r>
            <w:proofErr w:type="spellEnd"/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Between</w:t>
            </w:r>
            <w:proofErr w:type="spellEnd"/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Groups</w:t>
            </w:r>
            <w:proofErr w:type="spellEnd"/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)3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82F1BC7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Объём посевных инвестиций, млн долл.</w:t>
            </w:r>
          </w:p>
        </w:tc>
        <w:tc>
          <w:tcPr>
            <w:tcW w:w="170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2497657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Объём венчурных инвестиций на стадии старт-</w:t>
            </w:r>
            <w:proofErr w:type="spellStart"/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апа</w:t>
            </w:r>
            <w:proofErr w:type="spellEnd"/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 xml:space="preserve"> и других ранних стадиях, млн долл.</w:t>
            </w:r>
          </w:p>
        </w:tc>
        <w:tc>
          <w:tcPr>
            <w:tcW w:w="12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74DA14C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Объём венчурных инвестиций на поздней стадии, млн долл.</w:t>
            </w:r>
          </w:p>
        </w:tc>
        <w:tc>
          <w:tcPr>
            <w:tcW w:w="12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831DB90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Суммарный объём венчурных инвестиций, млн долл.</w:t>
            </w:r>
          </w:p>
        </w:tc>
        <w:tc>
          <w:tcPr>
            <w:tcW w:w="12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BC1265D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 xml:space="preserve">ВВП (ППС, в ценах 2017, млн </w:t>
            </w:r>
            <w:proofErr w:type="spellStart"/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долл</w:t>
            </w:r>
            <w:proofErr w:type="spellEnd"/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BE98BC9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 xml:space="preserve">Расходы на R&amp;D, млн </w:t>
            </w:r>
            <w:proofErr w:type="spellStart"/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долл</w:t>
            </w:r>
            <w:proofErr w:type="spellEnd"/>
          </w:p>
        </w:tc>
      </w:tr>
      <w:tr w:rsidR="005007B4" w:rsidRPr="004B5FC8" w14:paraId="45D7ECCD" w14:textId="77777777" w:rsidTr="005007B4">
        <w:trPr>
          <w:cantSplit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76185EC5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F8B1B1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Среднее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C58C2C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9,98075</w:t>
            </w:r>
          </w:p>
        </w:tc>
        <w:tc>
          <w:tcPr>
            <w:tcW w:w="170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F9F48A8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92,89217</w:t>
            </w:r>
          </w:p>
        </w:tc>
        <w:tc>
          <w:tcPr>
            <w:tcW w:w="12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CB3123F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59,64183</w:t>
            </w:r>
          </w:p>
        </w:tc>
        <w:tc>
          <w:tcPr>
            <w:tcW w:w="12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CCFE416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162,51475</w:t>
            </w:r>
          </w:p>
        </w:tc>
        <w:tc>
          <w:tcPr>
            <w:tcW w:w="12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E6DFABB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315701,1811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38B080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5619,9207</w:t>
            </w:r>
          </w:p>
        </w:tc>
      </w:tr>
      <w:tr w:rsidR="005007B4" w:rsidRPr="004B5FC8" w14:paraId="2C10A7D6" w14:textId="77777777" w:rsidTr="005007B4">
        <w:trPr>
          <w:cantSplit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07A44732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4C1105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535CE13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2F7FE6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4A81F4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6860F5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5C5F76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C6FE25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5007B4" w:rsidRPr="004B5FC8" w14:paraId="008DF8F8" w14:textId="77777777" w:rsidTr="005007B4">
        <w:trPr>
          <w:cantSplit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160380C8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1F702970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Стандартное отклонение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2CF26AAE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11,635900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14:paraId="6AF36981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48,824669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FFFFFF"/>
            <w:vAlign w:val="center"/>
          </w:tcPr>
          <w:p w14:paraId="172360F8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40,288458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434BBB2C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87,447553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4B585FD9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15502,44373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1861F202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925,86722</w:t>
            </w:r>
          </w:p>
        </w:tc>
      </w:tr>
      <w:tr w:rsidR="005007B4" w:rsidRPr="004B5FC8" w14:paraId="293FC15B" w14:textId="77777777" w:rsidTr="005007B4">
        <w:trPr>
          <w:cantSplit/>
        </w:trPr>
        <w:tc>
          <w:tcPr>
            <w:tcW w:w="709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6194E515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825502A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Среднее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A813207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17,63250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68F70F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305,72100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DABCFD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262,20300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90F4C6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585,55650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0B38FA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443206,7105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95C1FC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14855,1081</w:t>
            </w:r>
          </w:p>
        </w:tc>
      </w:tr>
      <w:tr w:rsidR="005007B4" w:rsidRPr="004B5FC8" w14:paraId="63CE3B02" w14:textId="77777777" w:rsidTr="005007B4">
        <w:trPr>
          <w:cantSplit/>
        </w:trPr>
        <w:tc>
          <w:tcPr>
            <w:tcW w:w="709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0DE98D9D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EA736F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5B5A64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A78BD7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AC84F4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757A47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E0D687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92BFA0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007B4" w:rsidRPr="004B5FC8" w14:paraId="79951E16" w14:textId="77777777" w:rsidTr="005007B4">
        <w:trPr>
          <w:cantSplit/>
        </w:trPr>
        <w:tc>
          <w:tcPr>
            <w:tcW w:w="709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9BAAC6A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097565E8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Стандартное отклонение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77D33172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6,397195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14:paraId="7C1CDD25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25,421903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FFFFFF"/>
            <w:vAlign w:val="center"/>
          </w:tcPr>
          <w:p w14:paraId="7A5CC2A8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,834386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53A4AEBA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18,190322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6FCFED9C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1415,21603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16DB63EC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692,17291</w:t>
            </w:r>
          </w:p>
        </w:tc>
      </w:tr>
      <w:tr w:rsidR="005007B4" w:rsidRPr="004B5FC8" w14:paraId="0E69FBB6" w14:textId="77777777" w:rsidTr="005007B4">
        <w:trPr>
          <w:cantSplit/>
        </w:trPr>
        <w:tc>
          <w:tcPr>
            <w:tcW w:w="709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68B02B86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82A57F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Среднее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413CF9B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13,09588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10384F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105,40729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4D2815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89,91556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07915B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208,41874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604732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334599,1661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981BA9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10535,8810</w:t>
            </w:r>
          </w:p>
        </w:tc>
      </w:tr>
      <w:tr w:rsidR="005007B4" w:rsidRPr="004B5FC8" w14:paraId="0A3386A6" w14:textId="77777777" w:rsidTr="005007B4">
        <w:trPr>
          <w:cantSplit/>
        </w:trPr>
        <w:tc>
          <w:tcPr>
            <w:tcW w:w="709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2EA3C61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1AFEC0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ABD75B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717C1A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B2B435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B82906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0AA7DD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D6BD93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</w:tr>
      <w:tr w:rsidR="005007B4" w:rsidRPr="004B5FC8" w14:paraId="72660E48" w14:textId="77777777" w:rsidTr="005007B4">
        <w:trPr>
          <w:cantSplit/>
        </w:trPr>
        <w:tc>
          <w:tcPr>
            <w:tcW w:w="709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5C14466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126A02CE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Стандартное отклонение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07FA5528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14,651988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14:paraId="29A19B7A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51,300500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FFFFFF"/>
            <w:vAlign w:val="center"/>
          </w:tcPr>
          <w:p w14:paraId="37D656C9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59,678810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34CC3117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108,594417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1884118E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99307,51616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1DA23208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3455,03194</w:t>
            </w:r>
          </w:p>
        </w:tc>
      </w:tr>
      <w:tr w:rsidR="005007B4" w:rsidRPr="004B5FC8" w14:paraId="1D7F40E1" w14:textId="77777777" w:rsidTr="005007B4">
        <w:trPr>
          <w:cantSplit/>
        </w:trPr>
        <w:tc>
          <w:tcPr>
            <w:tcW w:w="709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03ED4E5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7A2F09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Среднее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B6B1795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12,50613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746228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110,62492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E666C1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89,52577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00EC3A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212,65681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735F68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334399,9842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20202D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9486,8587</w:t>
            </w:r>
          </w:p>
        </w:tc>
      </w:tr>
      <w:tr w:rsidR="005007B4" w:rsidRPr="004B5FC8" w14:paraId="1C41EB43" w14:textId="77777777" w:rsidTr="005007B4">
        <w:trPr>
          <w:cantSplit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5E8CC1C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EB15E1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BB32C0F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AE14B1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5C8A97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3D96DA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D0F46C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3DBB29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5007B4" w:rsidRPr="004B5FC8" w14:paraId="60388DA7" w14:textId="77777777" w:rsidTr="005007B4">
        <w:trPr>
          <w:cantSplit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7EB3B3D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64C5B18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Стандартное отклонение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A4F6995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13,648817</w:t>
            </w:r>
          </w:p>
        </w:tc>
        <w:tc>
          <w:tcPr>
            <w:tcW w:w="170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3924602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64,336224</w:t>
            </w:r>
          </w:p>
        </w:tc>
        <w:tc>
          <w:tcPr>
            <w:tcW w:w="12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D947C23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66,162849</w:t>
            </w:r>
          </w:p>
        </w:tc>
        <w:tc>
          <w:tcPr>
            <w:tcW w:w="12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46B3A81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129,030684</w:t>
            </w:r>
          </w:p>
        </w:tc>
        <w:tc>
          <w:tcPr>
            <w:tcW w:w="12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0B0675D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87027,25381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A7A4868" w14:textId="77777777" w:rsidR="005007B4" w:rsidRPr="004B5FC8" w:rsidRDefault="005007B4" w:rsidP="005007B4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5FC8">
              <w:rPr>
                <w:rFonts w:ascii="Arial" w:hAnsi="Arial" w:cs="Arial"/>
                <w:color w:val="000000"/>
                <w:sz w:val="18"/>
                <w:szCs w:val="18"/>
              </w:rPr>
              <w:t>3799,01355</w:t>
            </w:r>
          </w:p>
        </w:tc>
      </w:tr>
    </w:tbl>
    <w:p w14:paraId="6DBC8DE7" w14:textId="27CB3FCF" w:rsidR="003022D8" w:rsidRDefault="003022D8" w:rsidP="00AB02FF">
      <w:pPr>
        <w:suppressAutoHyphens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B5BBB85" w14:textId="0331C04F" w:rsidR="001B1CD1" w:rsidRPr="005A72CD" w:rsidRDefault="001B1CD1" w:rsidP="005A72CD">
      <w:pPr>
        <w:autoSpaceDE w:val="0"/>
        <w:autoSpaceDN w:val="0"/>
        <w:adjustRightInd w:val="0"/>
        <w:spacing w:after="0" w:line="400" w:lineRule="atLeast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D80D08">
        <w:rPr>
          <w:rFonts w:ascii="Times New Roman" w:hAnsi="Times New Roman" w:cs="Times New Roman"/>
          <w:sz w:val="28"/>
          <w:szCs w:val="24"/>
        </w:rPr>
        <w:t>Разбиение на 2 кластера</w:t>
      </w:r>
      <w:r>
        <w:rPr>
          <w:rFonts w:ascii="Times New Roman" w:hAnsi="Times New Roman" w:cs="Times New Roman"/>
          <w:sz w:val="28"/>
          <w:szCs w:val="24"/>
        </w:rPr>
        <w:t xml:space="preserve"> (Таблица 11)</w:t>
      </w:r>
      <w:r w:rsidRPr="00D80D08">
        <w:rPr>
          <w:rFonts w:ascii="Times New Roman" w:hAnsi="Times New Roman" w:cs="Times New Roman"/>
          <w:sz w:val="28"/>
          <w:szCs w:val="24"/>
        </w:rPr>
        <w:t xml:space="preserve"> привело к отделению Норвегии от остальных стран региона. Причём сравнение явно не в пользу первой: рынок венчурных инвестиций этой стране является наименее оживлённым в регионе</w:t>
      </w:r>
      <w:r>
        <w:rPr>
          <w:rFonts w:ascii="Times New Roman" w:hAnsi="Times New Roman" w:cs="Times New Roman"/>
          <w:sz w:val="28"/>
          <w:szCs w:val="24"/>
        </w:rPr>
        <w:t>, но и вложения в разработки и исследования там самые низкие</w:t>
      </w:r>
      <w:r w:rsidRPr="00D80D08">
        <w:rPr>
          <w:rFonts w:ascii="Times New Roman" w:hAnsi="Times New Roman" w:cs="Times New Roman"/>
          <w:sz w:val="28"/>
          <w:szCs w:val="24"/>
        </w:rPr>
        <w:t>.</w:t>
      </w:r>
    </w:p>
    <w:p w14:paraId="2CA94C3D" w14:textId="77777777" w:rsidR="001B1CD1" w:rsidRDefault="001B1CD1" w:rsidP="00AB02FF">
      <w:pPr>
        <w:suppressAutoHyphens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96C1AAD" w14:textId="29A81CAD" w:rsidR="003022D8" w:rsidRPr="00F4526A" w:rsidRDefault="00F4526A" w:rsidP="00F4526A">
      <w:pPr>
        <w:suppressAutoHyphens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11. Разделение на 2 кластера.</w:t>
      </w:r>
    </w:p>
    <w:tbl>
      <w:tblPr>
        <w:tblW w:w="97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2"/>
        <w:gridCol w:w="1134"/>
        <w:gridCol w:w="1701"/>
        <w:gridCol w:w="1418"/>
        <w:gridCol w:w="1276"/>
        <w:gridCol w:w="1417"/>
        <w:gridCol w:w="1134"/>
      </w:tblGrid>
      <w:tr w:rsidR="004315F6" w:rsidRPr="00CB52A2" w14:paraId="3E5070AF" w14:textId="77777777" w:rsidTr="005D18B2">
        <w:trPr>
          <w:cantSplit/>
        </w:trPr>
        <w:tc>
          <w:tcPr>
            <w:tcW w:w="978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C16BC6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Объём посевных инвестиций, млн долл. Объём венчурных инвестиций на стадии старт-</w:t>
            </w:r>
            <w:proofErr w:type="spellStart"/>
            <w:r w:rsidRPr="00CB52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апа</w:t>
            </w:r>
            <w:proofErr w:type="spellEnd"/>
            <w:r w:rsidRPr="00CB52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и других ранних стадиях, млн долл. Объём венчурных инвестиций на поздней стадии, млн долл. Суммарный объём венчурных инвестиций, млн долл. ВВП (ППС, в ценах 2017, млн </w:t>
            </w:r>
            <w:proofErr w:type="spellStart"/>
            <w:r w:rsidRPr="00CB52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долл</w:t>
            </w:r>
            <w:proofErr w:type="spellEnd"/>
            <w:r w:rsidRPr="00CB52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) Расходы на R&amp;D, млн </w:t>
            </w:r>
            <w:proofErr w:type="spellStart"/>
            <w:r w:rsidRPr="00CB52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долл</w:t>
            </w:r>
            <w:proofErr w:type="spellEnd"/>
            <w:r w:rsidRPr="00CB52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 * </w:t>
            </w:r>
            <w:proofErr w:type="spellStart"/>
            <w:r w:rsidRPr="00CB52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Average</w:t>
            </w:r>
            <w:proofErr w:type="spellEnd"/>
            <w:r w:rsidRPr="00CB52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B52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Linkage</w:t>
            </w:r>
            <w:proofErr w:type="spellEnd"/>
            <w:r w:rsidRPr="00CB52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CB52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Between</w:t>
            </w:r>
            <w:proofErr w:type="spellEnd"/>
            <w:r w:rsidRPr="00CB52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B52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Groups</w:t>
            </w:r>
            <w:proofErr w:type="spellEnd"/>
            <w:r w:rsidRPr="00CB52A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)2</w:t>
            </w:r>
          </w:p>
        </w:tc>
      </w:tr>
      <w:tr w:rsidR="005D18B2" w:rsidRPr="00CB52A2" w14:paraId="78D0162C" w14:textId="77777777" w:rsidTr="005D18B2">
        <w:trPr>
          <w:cantSplit/>
        </w:trPr>
        <w:tc>
          <w:tcPr>
            <w:tcW w:w="170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2EFFB6AD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Average</w:t>
            </w:r>
            <w:proofErr w:type="spellEnd"/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Linkage</w:t>
            </w:r>
            <w:proofErr w:type="spellEnd"/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Between</w:t>
            </w:r>
            <w:proofErr w:type="spellEnd"/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Groups</w:t>
            </w:r>
            <w:proofErr w:type="spellEnd"/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)2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30FE12B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Объём посевных инвестиций, млн долл.</w:t>
            </w:r>
          </w:p>
        </w:tc>
        <w:tc>
          <w:tcPr>
            <w:tcW w:w="170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33DEBB0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Объём венчурных инвестиций на стадии старт-</w:t>
            </w:r>
            <w:proofErr w:type="spellStart"/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апа</w:t>
            </w:r>
            <w:proofErr w:type="spellEnd"/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 xml:space="preserve"> и других ранних стадиях, млн долл.</w:t>
            </w:r>
          </w:p>
        </w:tc>
        <w:tc>
          <w:tcPr>
            <w:tcW w:w="14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9879A33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Объём венчурных инвестиций на поздней стадии, млн долл.</w:t>
            </w:r>
          </w:p>
        </w:tc>
        <w:tc>
          <w:tcPr>
            <w:tcW w:w="12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2337983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Суммарный объём венчурных инвестиций, млн долл.</w:t>
            </w:r>
          </w:p>
        </w:tc>
        <w:tc>
          <w:tcPr>
            <w:tcW w:w="14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BC9480B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 xml:space="preserve">ВВП (ППС, в ценах 2017, млн </w:t>
            </w:r>
            <w:proofErr w:type="spellStart"/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долл</w:t>
            </w:r>
            <w:proofErr w:type="spellEnd"/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3DDA357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 xml:space="preserve">Расходы на R&amp;D, млн </w:t>
            </w:r>
            <w:proofErr w:type="spellStart"/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долл</w:t>
            </w:r>
            <w:proofErr w:type="spellEnd"/>
          </w:p>
        </w:tc>
      </w:tr>
      <w:tr w:rsidR="005D18B2" w:rsidRPr="00CB52A2" w14:paraId="64F4142A" w14:textId="77777777" w:rsidTr="005D18B2">
        <w:trPr>
          <w:cantSplit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61EF8075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1FE6B0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Среднее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E1D424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9,98075</w:t>
            </w:r>
          </w:p>
        </w:tc>
        <w:tc>
          <w:tcPr>
            <w:tcW w:w="170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89439A1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92,89217</w:t>
            </w:r>
          </w:p>
        </w:tc>
        <w:tc>
          <w:tcPr>
            <w:tcW w:w="141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9739314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59,64183</w:t>
            </w:r>
          </w:p>
        </w:tc>
        <w:tc>
          <w:tcPr>
            <w:tcW w:w="12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1DE4BF2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162,51475</w:t>
            </w:r>
          </w:p>
        </w:tc>
        <w:tc>
          <w:tcPr>
            <w:tcW w:w="14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814490D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315701,1811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432BCD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5619,9207</w:t>
            </w:r>
          </w:p>
        </w:tc>
      </w:tr>
      <w:tr w:rsidR="005D18B2" w:rsidRPr="00CB52A2" w14:paraId="3D574773" w14:textId="77777777" w:rsidTr="005D18B2">
        <w:trPr>
          <w:cantSplit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02B66E0C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A86D38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772D349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20957A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1329D5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38B948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28BE05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0EAEDE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5D18B2" w:rsidRPr="00CB52A2" w14:paraId="017358CE" w14:textId="77777777" w:rsidTr="005D18B2">
        <w:trPr>
          <w:cantSplit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585CE795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7F2D330A" w14:textId="459C6FF6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Ст</w:t>
            </w:r>
            <w:r w:rsidR="005D18B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откл</w:t>
            </w:r>
            <w:proofErr w:type="spellEnd"/>
            <w:proofErr w:type="gramEnd"/>
            <w:r w:rsidR="005D18B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040C06C4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11,635900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14:paraId="5C6C31B1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48,824669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FFFFFF"/>
            <w:vAlign w:val="center"/>
          </w:tcPr>
          <w:p w14:paraId="3DBB3EC0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40,288458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5363115C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87,447553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FFFFFF"/>
            <w:vAlign w:val="center"/>
          </w:tcPr>
          <w:p w14:paraId="1A9DC673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15502,44373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31D2DCF4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925,86722</w:t>
            </w:r>
          </w:p>
        </w:tc>
      </w:tr>
      <w:tr w:rsidR="005D18B2" w:rsidRPr="00CB52A2" w14:paraId="3C56311B" w14:textId="77777777" w:rsidTr="005D18B2">
        <w:trPr>
          <w:cantSplit/>
        </w:trPr>
        <w:tc>
          <w:tcPr>
            <w:tcW w:w="709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1229A59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88150F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Среднее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9CC5C0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13,34792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5B46C5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116,53583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B6BC40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99,48708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609E11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229,37083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9CE292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340632,9186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ACC032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10775,8381</w:t>
            </w:r>
          </w:p>
        </w:tc>
      </w:tr>
      <w:tr w:rsidR="005D18B2" w:rsidRPr="00CB52A2" w14:paraId="6D95C740" w14:textId="77777777" w:rsidTr="005D18B2">
        <w:trPr>
          <w:cantSplit/>
        </w:trPr>
        <w:tc>
          <w:tcPr>
            <w:tcW w:w="709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51A6A4B6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09B409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4C6F8B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602321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308321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23502B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C770E4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42AA8D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</w:tr>
      <w:tr w:rsidR="005D18B2" w:rsidRPr="00CB52A2" w14:paraId="3716DFBC" w14:textId="77777777" w:rsidTr="005D18B2">
        <w:trPr>
          <w:cantSplit/>
        </w:trPr>
        <w:tc>
          <w:tcPr>
            <w:tcW w:w="709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609CEE6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61530FB7" w14:textId="03F4137E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Ст</w:t>
            </w:r>
            <w:r w:rsidR="005D18B2">
              <w:rPr>
                <w:rFonts w:ascii="Arial" w:hAnsi="Arial" w:cs="Arial"/>
                <w:color w:val="000000"/>
                <w:sz w:val="18"/>
                <w:szCs w:val="18"/>
              </w:rPr>
              <w:t>.откл</w:t>
            </w:r>
            <w:proofErr w:type="spellEnd"/>
            <w:proofErr w:type="gramEnd"/>
            <w:r w:rsidR="005D18B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4A8EC83B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14,307105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FFFFFF"/>
            <w:vAlign w:val="center"/>
          </w:tcPr>
          <w:p w14:paraId="62A456B9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68,303211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FFFFFF"/>
            <w:vAlign w:val="center"/>
          </w:tcPr>
          <w:p w14:paraId="559FE87F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70,427269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  <w:vAlign w:val="center"/>
          </w:tcPr>
          <w:p w14:paraId="72A7428D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137,129103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FFFFFF"/>
            <w:vAlign w:val="center"/>
          </w:tcPr>
          <w:p w14:paraId="15B10314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99674,90147</w:t>
            </w:r>
          </w:p>
        </w:tc>
        <w:tc>
          <w:tcPr>
            <w:tcW w:w="1134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42CFC073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3503,65849</w:t>
            </w:r>
          </w:p>
        </w:tc>
      </w:tr>
      <w:tr w:rsidR="005D18B2" w:rsidRPr="00CB52A2" w14:paraId="2B8EF5BF" w14:textId="77777777" w:rsidTr="005D18B2">
        <w:trPr>
          <w:cantSplit/>
        </w:trPr>
        <w:tc>
          <w:tcPr>
            <w:tcW w:w="709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391EE9E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7BC32C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Среднее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6FB230E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12,50613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7CD982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110,62492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B108CD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89,52577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AB5944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212,65681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8C79C4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334399,9842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283BE8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9486,8587</w:t>
            </w:r>
          </w:p>
        </w:tc>
      </w:tr>
      <w:tr w:rsidR="005D18B2" w:rsidRPr="00CB52A2" w14:paraId="7D75F07B" w14:textId="77777777" w:rsidTr="005D18B2">
        <w:trPr>
          <w:cantSplit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6765849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25AF54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C3F5F2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BF02E1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DE53E5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455015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1E11F1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A31C00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  <w:tr w:rsidR="005D18B2" w:rsidRPr="00CB52A2" w14:paraId="6410E016" w14:textId="77777777" w:rsidTr="005D18B2">
        <w:trPr>
          <w:cantSplit/>
        </w:trPr>
        <w:tc>
          <w:tcPr>
            <w:tcW w:w="70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0979FA3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3D3FAEB" w14:textId="035626DC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Ст</w:t>
            </w:r>
            <w:r w:rsidR="005D18B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откл</w:t>
            </w:r>
            <w:proofErr w:type="spellEnd"/>
            <w:proofErr w:type="gramEnd"/>
            <w:r w:rsidR="005D18B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64DE6E2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13,648817</w:t>
            </w:r>
          </w:p>
        </w:tc>
        <w:tc>
          <w:tcPr>
            <w:tcW w:w="170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59F39F3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64,336224</w:t>
            </w:r>
          </w:p>
        </w:tc>
        <w:tc>
          <w:tcPr>
            <w:tcW w:w="141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87F14EB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66,162849</w:t>
            </w:r>
          </w:p>
        </w:tc>
        <w:tc>
          <w:tcPr>
            <w:tcW w:w="12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E523597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129,030684</w:t>
            </w:r>
          </w:p>
        </w:tc>
        <w:tc>
          <w:tcPr>
            <w:tcW w:w="14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2DEC0DE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87027,25381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699C469" w14:textId="77777777" w:rsidR="004315F6" w:rsidRPr="00CB52A2" w:rsidRDefault="004315F6" w:rsidP="005D18B2">
            <w:pPr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2A2">
              <w:rPr>
                <w:rFonts w:ascii="Arial" w:hAnsi="Arial" w:cs="Arial"/>
                <w:color w:val="000000"/>
                <w:sz w:val="18"/>
                <w:szCs w:val="18"/>
              </w:rPr>
              <w:t>3799,01355</w:t>
            </w:r>
          </w:p>
        </w:tc>
      </w:tr>
    </w:tbl>
    <w:p w14:paraId="5DF6D734" w14:textId="738ADC3E" w:rsidR="003022D8" w:rsidRDefault="003022D8" w:rsidP="00AB02FF">
      <w:pPr>
        <w:suppressAutoHyphens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13032D5" w14:textId="077B1AC7" w:rsidR="005D18B2" w:rsidRDefault="005A72CD" w:rsidP="00D34211">
      <w:pPr>
        <w:suppressAutoHyphens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в результате кластерного анализа мы пришли к следующ</w:t>
      </w:r>
      <w:r w:rsidR="00F630D8">
        <w:rPr>
          <w:rFonts w:ascii="Times New Roman" w:hAnsi="Times New Roman" w:cs="Times New Roman"/>
          <w:sz w:val="28"/>
        </w:rPr>
        <w:t>им выводам:</w:t>
      </w:r>
    </w:p>
    <w:p w14:paraId="18BEEDBB" w14:textId="77D7D04C" w:rsidR="00F630D8" w:rsidRDefault="00F630D8" w:rsidP="00D34211">
      <w:pPr>
        <w:suppressAutoHyphens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Норвегия характеризуется самыми низкими расходами на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F630D8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F630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низкой венчурной активностью. Особенно это заметно на примере инвестиций на </w:t>
      </w:r>
      <w:r w:rsidR="00F24870">
        <w:rPr>
          <w:rFonts w:ascii="Times New Roman" w:hAnsi="Times New Roman" w:cs="Times New Roman"/>
          <w:sz w:val="28"/>
        </w:rPr>
        <w:t>посевной</w:t>
      </w:r>
      <w:r>
        <w:rPr>
          <w:rFonts w:ascii="Times New Roman" w:hAnsi="Times New Roman" w:cs="Times New Roman"/>
          <w:sz w:val="28"/>
        </w:rPr>
        <w:t xml:space="preserve"> стадии, в меньшей степени страдают инвестиции в стартапы.</w:t>
      </w:r>
      <w:r w:rsidR="00F94BBE">
        <w:rPr>
          <w:rFonts w:ascii="Times New Roman" w:hAnsi="Times New Roman" w:cs="Times New Roman"/>
          <w:sz w:val="28"/>
        </w:rPr>
        <w:t xml:space="preserve"> При этом в Норвегии в период с 2015 по 2018 год наблюдается существенный спад венчурной активности (что совпадает с нефтяным кризисом).</w:t>
      </w:r>
    </w:p>
    <w:p w14:paraId="2323007D" w14:textId="054462CF" w:rsidR="001E1A4F" w:rsidRDefault="00F630D8" w:rsidP="00D34211">
      <w:pPr>
        <w:suppressAutoHyphens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4A7D59">
        <w:rPr>
          <w:rFonts w:ascii="Times New Roman" w:hAnsi="Times New Roman" w:cs="Times New Roman"/>
          <w:sz w:val="28"/>
        </w:rPr>
        <w:t>венчурн</w:t>
      </w:r>
      <w:r w:rsidR="001E1A4F">
        <w:rPr>
          <w:rFonts w:ascii="Times New Roman" w:hAnsi="Times New Roman" w:cs="Times New Roman"/>
          <w:sz w:val="28"/>
        </w:rPr>
        <w:t>ые</w:t>
      </w:r>
      <w:r w:rsidR="004A7D59">
        <w:rPr>
          <w:rFonts w:ascii="Times New Roman" w:hAnsi="Times New Roman" w:cs="Times New Roman"/>
          <w:sz w:val="28"/>
        </w:rPr>
        <w:t xml:space="preserve"> инвести</w:t>
      </w:r>
      <w:r w:rsidR="006B02F6">
        <w:rPr>
          <w:rFonts w:ascii="Times New Roman" w:hAnsi="Times New Roman" w:cs="Times New Roman"/>
          <w:sz w:val="28"/>
        </w:rPr>
        <w:t>ци</w:t>
      </w:r>
      <w:r w:rsidR="001E1A4F">
        <w:rPr>
          <w:rFonts w:ascii="Times New Roman" w:hAnsi="Times New Roman" w:cs="Times New Roman"/>
          <w:sz w:val="28"/>
        </w:rPr>
        <w:t>и</w:t>
      </w:r>
      <w:r w:rsidR="004A7D59">
        <w:rPr>
          <w:rFonts w:ascii="Times New Roman" w:hAnsi="Times New Roman" w:cs="Times New Roman"/>
          <w:sz w:val="28"/>
        </w:rPr>
        <w:t xml:space="preserve"> </w:t>
      </w:r>
      <w:r w:rsidR="001E1A4F">
        <w:rPr>
          <w:rFonts w:ascii="Times New Roman" w:hAnsi="Times New Roman" w:cs="Times New Roman"/>
          <w:sz w:val="28"/>
        </w:rPr>
        <w:t>в Швеции в 2007-2008 гг. были рекордными как для страны, так и для региона. В 2010-х годах</w:t>
      </w:r>
      <w:r w:rsidR="00A048EB">
        <w:rPr>
          <w:rFonts w:ascii="Times New Roman" w:hAnsi="Times New Roman" w:cs="Times New Roman"/>
          <w:sz w:val="28"/>
        </w:rPr>
        <w:t xml:space="preserve"> венчурная</w:t>
      </w:r>
      <w:r w:rsidR="001E1A4F">
        <w:rPr>
          <w:rFonts w:ascii="Times New Roman" w:hAnsi="Times New Roman" w:cs="Times New Roman"/>
          <w:sz w:val="28"/>
        </w:rPr>
        <w:t xml:space="preserve"> активность</w:t>
      </w:r>
      <w:r w:rsidR="00A048EB">
        <w:rPr>
          <w:rFonts w:ascii="Times New Roman" w:hAnsi="Times New Roman" w:cs="Times New Roman"/>
          <w:sz w:val="28"/>
        </w:rPr>
        <w:t xml:space="preserve"> в стране</w:t>
      </w:r>
      <w:r w:rsidR="001E1A4F">
        <w:rPr>
          <w:rFonts w:ascii="Times New Roman" w:hAnsi="Times New Roman" w:cs="Times New Roman"/>
          <w:sz w:val="28"/>
        </w:rPr>
        <w:t xml:space="preserve"> восстанавливалась после глобального экономического кризиса</w:t>
      </w:r>
      <w:r w:rsidR="00A048EB">
        <w:rPr>
          <w:rFonts w:ascii="Times New Roman" w:hAnsi="Times New Roman" w:cs="Times New Roman"/>
          <w:sz w:val="28"/>
        </w:rPr>
        <w:t>.</w:t>
      </w:r>
    </w:p>
    <w:p w14:paraId="1D923479" w14:textId="497A6774" w:rsidR="005D18B2" w:rsidRDefault="001E1A4F" w:rsidP="00D34211">
      <w:pPr>
        <w:suppressAutoHyphens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3A245E">
        <w:rPr>
          <w:rFonts w:ascii="Times New Roman" w:hAnsi="Times New Roman" w:cs="Times New Roman"/>
          <w:sz w:val="28"/>
        </w:rPr>
        <w:t>Дания и Финляндия имеют схожую динамику рынка венчурного инвестирования, при этом страны вышли на исторические максимумы по суммарному объёму в конце 10-х.</w:t>
      </w:r>
    </w:p>
    <w:p w14:paraId="32CDB053" w14:textId="6A7ED3A7" w:rsidR="00823171" w:rsidRDefault="00F42C98" w:rsidP="00D34211">
      <w:pPr>
        <w:suppressAutoHyphens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Проведение кластерного анализа с имеющимися данными достаточно условно и имеет серьёзные недостатки: </w:t>
      </w:r>
      <w:r w:rsidR="00CE7115">
        <w:rPr>
          <w:rFonts w:ascii="Times New Roman" w:hAnsi="Times New Roman" w:cs="Times New Roman"/>
          <w:sz w:val="28"/>
        </w:rPr>
        <w:t xml:space="preserve">данные изначально структурированы по малому числу стран, поэтому неудивительно, что </w:t>
      </w:r>
      <w:r w:rsidR="00CE7115">
        <w:rPr>
          <w:rFonts w:ascii="Times New Roman" w:hAnsi="Times New Roman" w:cs="Times New Roman"/>
          <w:sz w:val="28"/>
          <w:lang w:val="en-US"/>
        </w:rPr>
        <w:t>SPSS</w:t>
      </w:r>
      <w:r w:rsidR="00CE7115" w:rsidRPr="00CE7115">
        <w:rPr>
          <w:rFonts w:ascii="Times New Roman" w:hAnsi="Times New Roman" w:cs="Times New Roman"/>
          <w:sz w:val="28"/>
        </w:rPr>
        <w:t xml:space="preserve"> </w:t>
      </w:r>
      <w:r w:rsidR="00CE7115">
        <w:rPr>
          <w:rFonts w:ascii="Times New Roman" w:hAnsi="Times New Roman" w:cs="Times New Roman"/>
          <w:sz w:val="28"/>
        </w:rPr>
        <w:t xml:space="preserve">стремился </w:t>
      </w:r>
      <w:r w:rsidR="008C39C4">
        <w:rPr>
          <w:rFonts w:ascii="Times New Roman" w:hAnsi="Times New Roman" w:cs="Times New Roman"/>
          <w:sz w:val="28"/>
        </w:rPr>
        <w:t>к такому же разделению, более того, в кластеризации использованы показатели, которые входят в состав друг друга</w:t>
      </w:r>
      <w:r w:rsidR="008C39C4" w:rsidRPr="008C39C4">
        <w:rPr>
          <w:rFonts w:ascii="Times New Roman" w:hAnsi="Times New Roman" w:cs="Times New Roman"/>
          <w:sz w:val="28"/>
        </w:rPr>
        <w:t xml:space="preserve"> </w:t>
      </w:r>
      <w:r w:rsidR="008C39C4">
        <w:rPr>
          <w:rFonts w:ascii="Times New Roman" w:hAnsi="Times New Roman" w:cs="Times New Roman"/>
          <w:sz w:val="28"/>
        </w:rPr>
        <w:t>–</w:t>
      </w:r>
      <w:r w:rsidR="008C39C4" w:rsidRPr="008C39C4">
        <w:rPr>
          <w:rFonts w:ascii="Times New Roman" w:hAnsi="Times New Roman" w:cs="Times New Roman"/>
          <w:sz w:val="28"/>
        </w:rPr>
        <w:t xml:space="preserve"> </w:t>
      </w:r>
      <w:r w:rsidR="008C39C4">
        <w:rPr>
          <w:rFonts w:ascii="Times New Roman" w:hAnsi="Times New Roman" w:cs="Times New Roman"/>
          <w:sz w:val="28"/>
        </w:rPr>
        <w:t>такая кластеризация на практике, как правило, не проводится. Однако она привела к получению интересных наблюдений</w:t>
      </w:r>
      <w:r w:rsidR="00E669F6">
        <w:rPr>
          <w:rFonts w:ascii="Times New Roman" w:hAnsi="Times New Roman" w:cs="Times New Roman"/>
          <w:sz w:val="28"/>
        </w:rPr>
        <w:t>,</w:t>
      </w:r>
      <w:r w:rsidR="008C39C4">
        <w:rPr>
          <w:rFonts w:ascii="Times New Roman" w:hAnsi="Times New Roman" w:cs="Times New Roman"/>
          <w:sz w:val="28"/>
        </w:rPr>
        <w:t xml:space="preserve"> </w:t>
      </w:r>
      <w:r w:rsidR="001614A4">
        <w:rPr>
          <w:rFonts w:ascii="Times New Roman" w:hAnsi="Times New Roman" w:cs="Times New Roman"/>
          <w:sz w:val="28"/>
        </w:rPr>
        <w:t>подтвердила</w:t>
      </w:r>
      <w:r w:rsidR="004F27CF">
        <w:rPr>
          <w:rFonts w:ascii="Times New Roman" w:hAnsi="Times New Roman" w:cs="Times New Roman"/>
          <w:sz w:val="28"/>
        </w:rPr>
        <w:t xml:space="preserve"> ранее обозначенные предположения</w:t>
      </w:r>
      <w:r w:rsidR="001614A4">
        <w:rPr>
          <w:rFonts w:ascii="Times New Roman" w:hAnsi="Times New Roman" w:cs="Times New Roman"/>
          <w:sz w:val="28"/>
        </w:rPr>
        <w:t xml:space="preserve"> о самой слабой стране региона в контексте венчурных инвестиций</w:t>
      </w:r>
      <w:r w:rsidR="00E669F6">
        <w:rPr>
          <w:rFonts w:ascii="Times New Roman" w:hAnsi="Times New Roman" w:cs="Times New Roman"/>
          <w:sz w:val="28"/>
        </w:rPr>
        <w:t xml:space="preserve"> и выявила лучшие периоды </w:t>
      </w:r>
      <w:r w:rsidR="0021444A">
        <w:rPr>
          <w:rFonts w:ascii="Times New Roman" w:hAnsi="Times New Roman" w:cs="Times New Roman"/>
          <w:sz w:val="28"/>
        </w:rPr>
        <w:t>на этом рынке для ряда стран региона</w:t>
      </w:r>
      <w:r w:rsidR="001614A4">
        <w:rPr>
          <w:rFonts w:ascii="Times New Roman" w:hAnsi="Times New Roman" w:cs="Times New Roman"/>
          <w:sz w:val="28"/>
        </w:rPr>
        <w:t>.</w:t>
      </w:r>
      <w:r w:rsidR="00D02E2F">
        <w:rPr>
          <w:rFonts w:ascii="Times New Roman" w:hAnsi="Times New Roman" w:cs="Times New Roman"/>
          <w:sz w:val="28"/>
        </w:rPr>
        <w:t xml:space="preserve"> </w:t>
      </w:r>
      <w:r w:rsidR="00EC5009">
        <w:rPr>
          <w:rFonts w:ascii="Times New Roman" w:hAnsi="Times New Roman" w:cs="Times New Roman"/>
          <w:sz w:val="28"/>
        </w:rPr>
        <w:t>В рассмотренном случае полученные выводы легко проверяются визуальным анализом данных.</w:t>
      </w:r>
    </w:p>
    <w:p w14:paraId="21DC924B" w14:textId="7235A38D" w:rsidR="007F61CC" w:rsidRDefault="007F61CC" w:rsidP="007F61CC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61CC"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проверки по критерию </w:t>
      </w:r>
      <w:proofErr w:type="spellStart"/>
      <w:r w:rsidRPr="007F61CC">
        <w:rPr>
          <w:rFonts w:ascii="Times New Roman" w:hAnsi="Times New Roman" w:cs="Times New Roman"/>
          <w:sz w:val="28"/>
          <w:szCs w:val="28"/>
        </w:rPr>
        <w:t>Краскала-Уоллиса</w:t>
      </w:r>
      <w:proofErr w:type="spellEnd"/>
      <w:r w:rsidRPr="007F61CC">
        <w:rPr>
          <w:rFonts w:ascii="Times New Roman" w:hAnsi="Times New Roman" w:cs="Times New Roman"/>
          <w:sz w:val="28"/>
          <w:szCs w:val="28"/>
        </w:rPr>
        <w:t xml:space="preserve"> мы приходим к тому, что для разбиений на 3,4,5 кластеров на уровне 5% распределение величины объёма посевных инвестиций и ВВП является одинаковым для кластеров, остальные величины в кластерах значимо различаются. Для случая с 2 кластерами различия (нулевая гипотеза отклоняется) наблюдаются лишь для показателя расходы на </w:t>
      </w:r>
      <w:r w:rsidRPr="007F61C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F61CC">
        <w:rPr>
          <w:rFonts w:ascii="Times New Roman" w:hAnsi="Times New Roman" w:cs="Times New Roman"/>
          <w:sz w:val="28"/>
          <w:szCs w:val="28"/>
        </w:rPr>
        <w:t>&amp;</w:t>
      </w:r>
      <w:r w:rsidRPr="007F61C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F61CC">
        <w:rPr>
          <w:rFonts w:ascii="Times New Roman" w:hAnsi="Times New Roman" w:cs="Times New Roman"/>
          <w:sz w:val="28"/>
          <w:szCs w:val="28"/>
        </w:rPr>
        <w:t xml:space="preserve"> – именно в этом случае мы получили существенные различия между Норвегией (1-й кластер) и остальными странами региона (2-й кластер) по этому показателю.</w:t>
      </w:r>
    </w:p>
    <w:p w14:paraId="7F24EBE3" w14:textId="48E55AE3" w:rsidR="009151A8" w:rsidRPr="007F61CC" w:rsidRDefault="009151A8" w:rsidP="007F61C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F61CC">
        <w:rPr>
          <w:rFonts w:ascii="Times New Roman" w:hAnsi="Times New Roman" w:cs="Times New Roman"/>
          <w:sz w:val="28"/>
          <w:szCs w:val="28"/>
        </w:rPr>
        <w:t>Для 5 кластеро</w:t>
      </w:r>
      <w:r w:rsidR="00477344" w:rsidRPr="007F61CC">
        <w:rPr>
          <w:rFonts w:ascii="Times New Roman" w:hAnsi="Times New Roman" w:cs="Times New Roman"/>
          <w:sz w:val="28"/>
          <w:szCs w:val="28"/>
        </w:rPr>
        <w:t>в:</w:t>
      </w:r>
    </w:p>
    <w:p w14:paraId="467A5DBF" w14:textId="77777777" w:rsidR="009151A8" w:rsidRPr="007F61CC" w:rsidRDefault="009151A8" w:rsidP="00915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61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4830F4" wp14:editId="4E8AD010">
            <wp:extent cx="3213010" cy="3942608"/>
            <wp:effectExtent l="0" t="0" r="698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59" cy="395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C5FC6" w14:textId="624D6933" w:rsidR="009151A8" w:rsidRPr="00BF36B6" w:rsidRDefault="00BF36B6" w:rsidP="00915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Рис.4. Проверка разбиения на кластеры (критерий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Краскала-Уоллиса</w:t>
      </w:r>
      <w:proofErr w:type="spellEnd"/>
      <w:r>
        <w:rPr>
          <w:rFonts w:ascii="Times New Roman" w:hAnsi="Times New Roman" w:cs="Times New Roman"/>
          <w:sz w:val="28"/>
          <w:szCs w:val="28"/>
        </w:rPr>
        <w:t>) для 5 кластеров.</w:t>
      </w:r>
    </w:p>
    <w:p w14:paraId="512AEC7F" w14:textId="77777777" w:rsidR="00BF36B6" w:rsidRDefault="00BF36B6" w:rsidP="007F61C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9D305EB" w14:textId="284DF133" w:rsidR="009151A8" w:rsidRPr="00BF36B6" w:rsidRDefault="009151A8" w:rsidP="007F61C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F61CC">
        <w:rPr>
          <w:rFonts w:ascii="Times New Roman" w:hAnsi="Times New Roman" w:cs="Times New Roman"/>
          <w:sz w:val="28"/>
          <w:szCs w:val="28"/>
        </w:rPr>
        <w:t>Для 4 кластеров</w:t>
      </w:r>
      <w:r w:rsidRPr="00BF36B6">
        <w:rPr>
          <w:rFonts w:ascii="Times New Roman" w:hAnsi="Times New Roman" w:cs="Times New Roman"/>
          <w:sz w:val="28"/>
          <w:szCs w:val="28"/>
        </w:rPr>
        <w:t>:</w:t>
      </w:r>
    </w:p>
    <w:p w14:paraId="2F970427" w14:textId="77777777" w:rsidR="009151A8" w:rsidRPr="007F61CC" w:rsidRDefault="009151A8" w:rsidP="00915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61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5CE455" wp14:editId="0CB067A6">
            <wp:extent cx="3193579" cy="3918857"/>
            <wp:effectExtent l="0" t="0" r="698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73" cy="393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7B21" w14:textId="58255D34" w:rsidR="00BF36B6" w:rsidRPr="00BF36B6" w:rsidRDefault="00BF36B6" w:rsidP="00BF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Проверка разбиения на кластеры (критерий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Краскала-Уоллиса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для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кластеров.</w:t>
      </w:r>
    </w:p>
    <w:p w14:paraId="4F8728B4" w14:textId="77777777" w:rsidR="009151A8" w:rsidRPr="007F61CC" w:rsidRDefault="009151A8" w:rsidP="00915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D36D9D" w14:textId="77777777" w:rsidR="009151A8" w:rsidRPr="007F61CC" w:rsidRDefault="009151A8" w:rsidP="007F61C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F61CC">
        <w:rPr>
          <w:rFonts w:ascii="Times New Roman" w:hAnsi="Times New Roman" w:cs="Times New Roman"/>
          <w:sz w:val="28"/>
          <w:szCs w:val="28"/>
        </w:rPr>
        <w:t>Для 3 кластеров:</w:t>
      </w:r>
    </w:p>
    <w:p w14:paraId="64DC6400" w14:textId="77777777" w:rsidR="009151A8" w:rsidRPr="007F61CC" w:rsidRDefault="009151A8" w:rsidP="00915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61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850BD1" wp14:editId="07DC8608">
            <wp:extent cx="3260113" cy="4000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02" cy="402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792BF" w14:textId="73FF7AB4" w:rsidR="00BF36B6" w:rsidRPr="00BF36B6" w:rsidRDefault="00BF36B6" w:rsidP="00BF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Проверка разбиения на кластеры (критерий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Краскала-Уоллиса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для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кластеров.</w:t>
      </w:r>
    </w:p>
    <w:p w14:paraId="33CB04E5" w14:textId="77777777" w:rsidR="00BF36B6" w:rsidRDefault="00BF36B6" w:rsidP="007F61C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BDDAC67" w14:textId="2B134F0B" w:rsidR="009151A8" w:rsidRPr="007F61CC" w:rsidRDefault="009151A8" w:rsidP="00BF36B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F61CC">
        <w:rPr>
          <w:rFonts w:ascii="Times New Roman" w:hAnsi="Times New Roman" w:cs="Times New Roman"/>
          <w:sz w:val="28"/>
          <w:szCs w:val="28"/>
        </w:rPr>
        <w:t>Для 2 кластеров:</w:t>
      </w:r>
    </w:p>
    <w:p w14:paraId="622BD4D7" w14:textId="77777777" w:rsidR="009151A8" w:rsidRPr="007F61CC" w:rsidRDefault="009151A8" w:rsidP="00915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61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6E38E1" wp14:editId="5A88F8C9">
            <wp:extent cx="3811979" cy="4677698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813" cy="468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86A5" w14:textId="17EA6D77" w:rsidR="00BF36B6" w:rsidRPr="00BF36B6" w:rsidRDefault="00BF36B6" w:rsidP="00BF3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Проверка разбиения на кластеры (критерий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Краскала-Уоллиса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для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кластеров.</w:t>
      </w:r>
    </w:p>
    <w:p w14:paraId="1E8A97FE" w14:textId="1D59EB89" w:rsidR="00BF36B6" w:rsidRDefault="00BF36B6">
      <w:pPr>
        <w:suppressAutoHyphens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DAD9C32" w14:textId="77777777" w:rsidR="009151A8" w:rsidRDefault="009151A8" w:rsidP="00D34211">
      <w:pPr>
        <w:suppressAutoHyphens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C675D2D" w14:textId="7EEC42EE" w:rsidR="007F7611" w:rsidRDefault="007F7611" w:rsidP="00EC7D57">
      <w:pPr>
        <w:pStyle w:val="1"/>
      </w:pPr>
      <w:bookmarkStart w:id="8" w:name="_Toc89784921"/>
      <w:r>
        <w:t xml:space="preserve">3. Исследование зависимости </w:t>
      </w:r>
      <w:r w:rsidR="00460816">
        <w:t>объёма венчурных инвестиций</w:t>
      </w:r>
      <w:r w:rsidR="000B71D2">
        <w:t xml:space="preserve"> в странах Северной Европы</w:t>
      </w:r>
      <w:r w:rsidR="00460816">
        <w:t xml:space="preserve"> от факторов конкурентоспособности</w:t>
      </w:r>
      <w:r w:rsidR="009C535B">
        <w:t xml:space="preserve"> (их оценки </w:t>
      </w:r>
      <w:r w:rsidR="009C535B">
        <w:rPr>
          <w:lang w:val="en-US"/>
        </w:rPr>
        <w:t>WEF</w:t>
      </w:r>
      <w:r w:rsidR="009C535B" w:rsidRPr="009C535B">
        <w:t>)</w:t>
      </w:r>
      <w:r w:rsidR="00EC7D57">
        <w:t xml:space="preserve"> методом регрессионного анализа</w:t>
      </w:r>
      <w:bookmarkEnd w:id="8"/>
    </w:p>
    <w:p w14:paraId="48D0A3FD" w14:textId="073000BF" w:rsidR="00565502" w:rsidRDefault="00565502" w:rsidP="00503F7D">
      <w:pPr>
        <w:spacing w:after="0" w:line="276" w:lineRule="auto"/>
        <w:jc w:val="both"/>
      </w:pPr>
    </w:p>
    <w:p w14:paraId="3A481D6E" w14:textId="0237AB6C" w:rsidR="00503F7D" w:rsidRPr="00503F7D" w:rsidRDefault="00503F7D" w:rsidP="00494B83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Новейшая инновационная продукция (в том числе созданная с использованием венчурного инвестирования) – это продукция с высокой добавленной стоимостью, повышающаяся уровень жизни человека, внедряющая новые технологии в производственные и организационные процессы и повышающая их эффективность. Для производства инноваций и продукции с высокой добавленной стоимостью необходимо создать соответствующие условия бизнес-среды: функционирование институтов,  систему образо</w:t>
      </w:r>
      <w:r w:rsidRPr="00AB1725">
        <w:rPr>
          <w:rFonts w:ascii="Times New Roman" w:hAnsi="Times New Roman" w:cs="Times New Roman"/>
          <w:sz w:val="28"/>
          <w:szCs w:val="28"/>
        </w:rPr>
        <w:t>вания и здравоохранения, инфраструктур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B17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развить</w:t>
      </w:r>
      <w:r w:rsidRPr="00AB1725">
        <w:rPr>
          <w:rFonts w:ascii="Times New Roman" w:hAnsi="Times New Roman" w:cs="Times New Roman"/>
          <w:sz w:val="28"/>
          <w:szCs w:val="28"/>
        </w:rPr>
        <w:t xml:space="preserve"> финансов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AB1725">
        <w:rPr>
          <w:rFonts w:ascii="Times New Roman" w:hAnsi="Times New Roman" w:cs="Times New Roman"/>
          <w:sz w:val="28"/>
          <w:szCs w:val="28"/>
        </w:rPr>
        <w:t xml:space="preserve"> рын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AB1725">
        <w:rPr>
          <w:rFonts w:ascii="Times New Roman" w:hAnsi="Times New Roman" w:cs="Times New Roman"/>
          <w:sz w:val="28"/>
          <w:szCs w:val="28"/>
        </w:rPr>
        <w:t xml:space="preserve"> и т.д. Налицо пересечение венчурных инвестиций как фактора развития инноваций</w:t>
      </w:r>
      <w:r>
        <w:rPr>
          <w:rFonts w:ascii="Times New Roman" w:hAnsi="Times New Roman" w:cs="Times New Roman"/>
          <w:sz w:val="28"/>
          <w:szCs w:val="28"/>
        </w:rPr>
        <w:t>, инновационного развития</w:t>
      </w:r>
      <w:r w:rsidRPr="00AB1725">
        <w:rPr>
          <w:rFonts w:ascii="Times New Roman" w:hAnsi="Times New Roman" w:cs="Times New Roman"/>
          <w:sz w:val="28"/>
          <w:szCs w:val="28"/>
        </w:rPr>
        <w:t xml:space="preserve"> с определением конкурентоспособности страны - </w:t>
      </w:r>
      <w:r w:rsidRPr="00AB1725">
        <w:rPr>
          <w:rFonts w:ascii="Times New Roman" w:hAnsi="Times New Roman" w:cs="Times New Roman"/>
          <w:color w:val="000000"/>
          <w:sz w:val="28"/>
          <w:szCs w:val="28"/>
        </w:rPr>
        <w:t xml:space="preserve"> способност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AB1725">
        <w:rPr>
          <w:rFonts w:ascii="Times New Roman" w:hAnsi="Times New Roman" w:cs="Times New Roman"/>
          <w:color w:val="000000"/>
          <w:sz w:val="28"/>
          <w:szCs w:val="28"/>
        </w:rPr>
        <w:t xml:space="preserve"> перераспределять созданную в мировом хозяйстве стоимость в свою пользу, появляющаяся благодаря наличию в стране условий для создания </w:t>
      </w:r>
      <w:r w:rsidRPr="005D7104">
        <w:rPr>
          <w:rFonts w:ascii="Times New Roman" w:hAnsi="Times New Roman" w:cs="Times New Roman"/>
          <w:i/>
          <w:color w:val="000000"/>
          <w:sz w:val="28"/>
          <w:szCs w:val="28"/>
        </w:rPr>
        <w:t>большей добавленной стоимости</w:t>
      </w:r>
      <w:r w:rsidRPr="00AB1725">
        <w:rPr>
          <w:rFonts w:ascii="Times New Roman" w:hAnsi="Times New Roman" w:cs="Times New Roman"/>
          <w:color w:val="000000"/>
          <w:sz w:val="28"/>
          <w:szCs w:val="28"/>
        </w:rPr>
        <w:t xml:space="preserve"> и позволяющая поддерживать </w:t>
      </w:r>
      <w:r w:rsidRPr="00492900">
        <w:rPr>
          <w:rFonts w:ascii="Times New Roman" w:hAnsi="Times New Roman" w:cs="Times New Roman"/>
          <w:i/>
          <w:color w:val="000000"/>
          <w:sz w:val="28"/>
          <w:szCs w:val="28"/>
        </w:rPr>
        <w:t>качество жизни</w:t>
      </w:r>
      <w:r w:rsidRPr="00AB1725">
        <w:rPr>
          <w:rFonts w:ascii="Times New Roman" w:hAnsi="Times New Roman" w:cs="Times New Roman"/>
          <w:color w:val="000000"/>
          <w:sz w:val="28"/>
          <w:szCs w:val="28"/>
        </w:rPr>
        <w:t xml:space="preserve"> населения страны на высоком уровне [</w:t>
      </w:r>
      <w:r w:rsidR="00712DD7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C15C08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AB172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995F13" w14:textId="2BFC1C90" w:rsidR="00565502" w:rsidRDefault="00B26980" w:rsidP="00494B8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Данные для исследования зависимости объёма венчурных инвестиций в странах Северной Европы от оценки факторов конкурентоспособности </w:t>
      </w:r>
      <w:r>
        <w:rPr>
          <w:rFonts w:ascii="Times New Roman" w:hAnsi="Times New Roman" w:cs="Times New Roman"/>
          <w:sz w:val="28"/>
          <w:lang w:val="en-US"/>
        </w:rPr>
        <w:t>WEF</w:t>
      </w:r>
      <w:r>
        <w:rPr>
          <w:rFonts w:ascii="Times New Roman" w:hAnsi="Times New Roman" w:cs="Times New Roman"/>
          <w:sz w:val="28"/>
        </w:rPr>
        <w:t xml:space="preserve"> методом регрессионного анализа доступны в </w:t>
      </w:r>
      <w:r w:rsidRPr="00341309">
        <w:rPr>
          <w:rFonts w:ascii="Times New Roman" w:hAnsi="Times New Roman" w:cs="Times New Roman"/>
          <w:sz w:val="28"/>
          <w:u w:val="single"/>
        </w:rPr>
        <w:t>файле “</w:t>
      </w:r>
      <w:proofErr w:type="spellStart"/>
      <w:r w:rsidRPr="00341309">
        <w:rPr>
          <w:rFonts w:ascii="Times New Roman" w:hAnsi="Times New Roman" w:cs="Times New Roman"/>
          <w:sz w:val="28"/>
          <w:u w:val="single"/>
          <w:lang w:val="en-US"/>
        </w:rPr>
        <w:t>spss</w:t>
      </w:r>
      <w:proofErr w:type="spellEnd"/>
      <w:r w:rsidRPr="00341309">
        <w:rPr>
          <w:rFonts w:ascii="Times New Roman" w:hAnsi="Times New Roman" w:cs="Times New Roman"/>
          <w:sz w:val="28"/>
          <w:u w:val="single"/>
        </w:rPr>
        <w:t>_</w:t>
      </w:r>
      <w:proofErr w:type="spellStart"/>
      <w:r w:rsidRPr="00341309">
        <w:rPr>
          <w:rFonts w:ascii="Times New Roman" w:hAnsi="Times New Roman" w:cs="Times New Roman"/>
          <w:sz w:val="28"/>
          <w:u w:val="single"/>
          <w:lang w:val="en-US"/>
        </w:rPr>
        <w:t>vc</w:t>
      </w:r>
      <w:proofErr w:type="spellEnd"/>
      <w:r w:rsidRPr="00341309">
        <w:rPr>
          <w:rFonts w:ascii="Times New Roman" w:hAnsi="Times New Roman" w:cs="Times New Roman"/>
          <w:sz w:val="28"/>
          <w:u w:val="single"/>
        </w:rPr>
        <w:t>_</w:t>
      </w:r>
      <w:proofErr w:type="spellStart"/>
      <w:r w:rsidRPr="00341309">
        <w:rPr>
          <w:rFonts w:ascii="Times New Roman" w:hAnsi="Times New Roman" w:cs="Times New Roman"/>
          <w:sz w:val="28"/>
          <w:u w:val="single"/>
          <w:lang w:val="en-US"/>
        </w:rPr>
        <w:t>wef</w:t>
      </w:r>
      <w:proofErr w:type="spellEnd"/>
      <w:r w:rsidRPr="00341309">
        <w:rPr>
          <w:rFonts w:ascii="Times New Roman" w:hAnsi="Times New Roman" w:cs="Times New Roman"/>
          <w:sz w:val="28"/>
          <w:u w:val="single"/>
        </w:rPr>
        <w:t>.</w:t>
      </w:r>
      <w:r w:rsidRPr="00341309">
        <w:rPr>
          <w:rFonts w:ascii="Times New Roman" w:hAnsi="Times New Roman" w:cs="Times New Roman"/>
          <w:sz w:val="28"/>
          <w:u w:val="single"/>
          <w:lang w:val="en-US"/>
        </w:rPr>
        <w:t>sav</w:t>
      </w:r>
      <w:r w:rsidRPr="00341309">
        <w:rPr>
          <w:rFonts w:ascii="Times New Roman" w:hAnsi="Times New Roman" w:cs="Times New Roman"/>
          <w:sz w:val="28"/>
          <w:u w:val="single"/>
        </w:rPr>
        <w:t>”</w:t>
      </w:r>
      <w:r w:rsidRPr="00B26980">
        <w:rPr>
          <w:rFonts w:ascii="Times New Roman" w:hAnsi="Times New Roman" w:cs="Times New Roman"/>
          <w:sz w:val="28"/>
        </w:rPr>
        <w:t>.</w:t>
      </w:r>
    </w:p>
    <w:p w14:paraId="20F6B6CC" w14:textId="4DFD1DB5" w:rsidR="00494B83" w:rsidRPr="006F286C" w:rsidRDefault="00494B83" w:rsidP="00494B83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Зависимой переменной является общий годовой объём венчурных инвестиций в Дании, Швеции, Финляндии, Норвегии с 2008 по 2019 год.</w:t>
      </w:r>
      <w:r w:rsidRPr="006F286C">
        <w:rPr>
          <w:rFonts w:ascii="Times New Roman" w:hAnsi="Times New Roman"/>
          <w:sz w:val="28"/>
          <w:szCs w:val="28"/>
        </w:rPr>
        <w:t xml:space="preserve"> </w:t>
      </w:r>
    </w:p>
    <w:p w14:paraId="33CF823C" w14:textId="5226AB0E" w:rsidR="00494B83" w:rsidRDefault="00494B83" w:rsidP="00494B83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количественного воплощения развитости факторов конкурентоспособности</w:t>
      </w:r>
      <w:r w:rsidR="008E6392">
        <w:rPr>
          <w:rFonts w:ascii="Times New Roman" w:hAnsi="Times New Roman"/>
          <w:sz w:val="28"/>
          <w:szCs w:val="28"/>
        </w:rPr>
        <w:t xml:space="preserve"> (независимые переменные)</w:t>
      </w:r>
      <w:r>
        <w:rPr>
          <w:rFonts w:ascii="Times New Roman" w:hAnsi="Times New Roman"/>
          <w:sz w:val="28"/>
          <w:szCs w:val="28"/>
        </w:rPr>
        <w:t xml:space="preserve"> были взяты их оценки Всемирным Экономическим Форумом (</w:t>
      </w:r>
      <w:proofErr w:type="spellStart"/>
      <w:r>
        <w:rPr>
          <w:rFonts w:ascii="Times New Roman" w:hAnsi="Times New Roman"/>
          <w:sz w:val="28"/>
          <w:szCs w:val="28"/>
        </w:rPr>
        <w:t>World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Economic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Forum</w:t>
      </w:r>
      <w:proofErr w:type="spellEnd"/>
      <w:r>
        <w:rPr>
          <w:rFonts w:ascii="Times New Roman" w:hAnsi="Times New Roman"/>
          <w:sz w:val="28"/>
          <w:szCs w:val="28"/>
        </w:rPr>
        <w:t xml:space="preserve">), которые публикуются ежегодно в отчётах о глобальной конкурентоспособности </w:t>
      </w:r>
      <w:r w:rsidR="001F5DD8">
        <w:rPr>
          <w:rFonts w:ascii="Times New Roman" w:hAnsi="Times New Roman"/>
          <w:sz w:val="28"/>
          <w:szCs w:val="28"/>
          <w:lang w:val="en-US"/>
        </w:rPr>
        <w:t>Global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Competitiveness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Report</w:t>
      </w:r>
      <w:proofErr w:type="spellEnd"/>
      <w:r>
        <w:rPr>
          <w:rFonts w:ascii="Times New Roman" w:hAnsi="Times New Roman"/>
          <w:sz w:val="28"/>
          <w:szCs w:val="28"/>
        </w:rPr>
        <w:t xml:space="preserve">, за период с 2008 по 2019 гг. Как правило, все оценки факторов были даны по семибалльной шкале, лишь в 2018 и 2019 гг. они стали считаться из максимума в 100 баллов. Эти данные были приведены к привычному виду путём деления показателей на 100 и умножения частного на 7. </w:t>
      </w:r>
      <w:r w:rsidR="008E6392">
        <w:rPr>
          <w:rFonts w:ascii="Times New Roman" w:hAnsi="Times New Roman"/>
          <w:sz w:val="28"/>
          <w:szCs w:val="28"/>
        </w:rPr>
        <w:t xml:space="preserve">Все переменные сведены в таблицу </w:t>
      </w:r>
      <w:r w:rsidR="004E3F41">
        <w:rPr>
          <w:rFonts w:ascii="Times New Roman" w:hAnsi="Times New Roman"/>
          <w:sz w:val="28"/>
          <w:szCs w:val="28"/>
        </w:rPr>
        <w:t>12.</w:t>
      </w:r>
    </w:p>
    <w:p w14:paraId="307D25C8" w14:textId="56CAADD2" w:rsidR="007350A6" w:rsidRDefault="007350A6" w:rsidP="007350A6">
      <w:pPr>
        <w:spacing w:after="0" w:line="276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3F41" w14:paraId="45B0E11E" w14:textId="77777777" w:rsidTr="004E3F41">
        <w:tc>
          <w:tcPr>
            <w:tcW w:w="4672" w:type="dxa"/>
          </w:tcPr>
          <w:p w14:paraId="5527515E" w14:textId="64C85089" w:rsidR="004E3F41" w:rsidRPr="004E3F41" w:rsidRDefault="004E3F41" w:rsidP="004E3F41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4E3F41">
              <w:rPr>
                <w:rFonts w:ascii="Times New Roman" w:hAnsi="Times New Roman"/>
                <w:b/>
                <w:sz w:val="28"/>
                <w:szCs w:val="28"/>
              </w:rPr>
              <w:t xml:space="preserve">Имя переменной в файле </w:t>
            </w:r>
            <w:proofErr w:type="spellStart"/>
            <w:r w:rsidRPr="004E3F41">
              <w:rPr>
                <w:rFonts w:ascii="Times New Roman" w:hAnsi="Times New Roman" w:cs="Times New Roman"/>
                <w:b/>
                <w:sz w:val="28"/>
                <w:lang w:val="en-US"/>
              </w:rPr>
              <w:t>spss</w:t>
            </w:r>
            <w:proofErr w:type="spellEnd"/>
            <w:r w:rsidRPr="004E3F41">
              <w:rPr>
                <w:rFonts w:ascii="Times New Roman" w:hAnsi="Times New Roman" w:cs="Times New Roman"/>
                <w:b/>
                <w:sz w:val="28"/>
              </w:rPr>
              <w:t>_</w:t>
            </w:r>
            <w:proofErr w:type="spellStart"/>
            <w:r w:rsidRPr="004E3F41">
              <w:rPr>
                <w:rFonts w:ascii="Times New Roman" w:hAnsi="Times New Roman" w:cs="Times New Roman"/>
                <w:b/>
                <w:sz w:val="28"/>
                <w:lang w:val="en-US"/>
              </w:rPr>
              <w:t>vc</w:t>
            </w:r>
            <w:proofErr w:type="spellEnd"/>
            <w:r w:rsidRPr="004E3F41">
              <w:rPr>
                <w:rFonts w:ascii="Times New Roman" w:hAnsi="Times New Roman" w:cs="Times New Roman"/>
                <w:b/>
                <w:sz w:val="28"/>
              </w:rPr>
              <w:t>_</w:t>
            </w:r>
            <w:proofErr w:type="spellStart"/>
            <w:r w:rsidRPr="004E3F41">
              <w:rPr>
                <w:rFonts w:ascii="Times New Roman" w:hAnsi="Times New Roman" w:cs="Times New Roman"/>
                <w:b/>
                <w:sz w:val="28"/>
                <w:lang w:val="en-US"/>
              </w:rPr>
              <w:t>wef</w:t>
            </w:r>
            <w:proofErr w:type="spellEnd"/>
            <w:r w:rsidRPr="004E3F41">
              <w:rPr>
                <w:rFonts w:ascii="Times New Roman" w:hAnsi="Times New Roman" w:cs="Times New Roman"/>
                <w:b/>
                <w:sz w:val="28"/>
              </w:rPr>
              <w:t>.</w:t>
            </w:r>
            <w:r w:rsidRPr="004E3F41">
              <w:rPr>
                <w:rFonts w:ascii="Times New Roman" w:hAnsi="Times New Roman" w:cs="Times New Roman"/>
                <w:b/>
                <w:sz w:val="28"/>
                <w:lang w:val="en-US"/>
              </w:rPr>
              <w:t>sav</w:t>
            </w:r>
          </w:p>
        </w:tc>
        <w:tc>
          <w:tcPr>
            <w:tcW w:w="4673" w:type="dxa"/>
          </w:tcPr>
          <w:p w14:paraId="606960BB" w14:textId="067BA490" w:rsidR="004E3F41" w:rsidRPr="004E3F41" w:rsidRDefault="004E3F41" w:rsidP="004E3F41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4E3F41">
              <w:rPr>
                <w:rFonts w:ascii="Times New Roman" w:hAnsi="Times New Roman"/>
                <w:b/>
                <w:sz w:val="28"/>
                <w:szCs w:val="28"/>
              </w:rPr>
              <w:t>Метка</w:t>
            </w:r>
          </w:p>
        </w:tc>
      </w:tr>
      <w:tr w:rsidR="004E3F41" w14:paraId="5C4D14B2" w14:textId="77777777" w:rsidTr="004E3F41">
        <w:tc>
          <w:tcPr>
            <w:tcW w:w="4672" w:type="dxa"/>
          </w:tcPr>
          <w:p w14:paraId="2DB9070E" w14:textId="496AD889" w:rsidR="004E3F41" w:rsidRDefault="004E3F41" w:rsidP="004E3F4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3F41">
              <w:rPr>
                <w:rFonts w:ascii="Times New Roman" w:hAnsi="Times New Roman"/>
                <w:sz w:val="28"/>
                <w:szCs w:val="28"/>
              </w:rPr>
              <w:t>в_1</w:t>
            </w:r>
          </w:p>
        </w:tc>
        <w:tc>
          <w:tcPr>
            <w:tcW w:w="4673" w:type="dxa"/>
          </w:tcPr>
          <w:p w14:paraId="2E505EAE" w14:textId="05CD279E" w:rsidR="004E3F41" w:rsidRDefault="00A37EB7" w:rsidP="00494B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37EB7">
              <w:rPr>
                <w:rFonts w:ascii="Times New Roman" w:hAnsi="Times New Roman"/>
                <w:sz w:val="28"/>
                <w:szCs w:val="28"/>
              </w:rPr>
              <w:t>Страна</w:t>
            </w:r>
          </w:p>
        </w:tc>
      </w:tr>
      <w:tr w:rsidR="004E3F41" w14:paraId="72D6A750" w14:textId="77777777" w:rsidTr="004E3F41">
        <w:tc>
          <w:tcPr>
            <w:tcW w:w="4672" w:type="dxa"/>
          </w:tcPr>
          <w:p w14:paraId="141FE88D" w14:textId="4C66539B" w:rsidR="004E3F41" w:rsidRDefault="004E3F41" w:rsidP="004E3F4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3F41">
              <w:rPr>
                <w:rFonts w:ascii="Times New Roman" w:hAnsi="Times New Roman"/>
                <w:sz w:val="28"/>
                <w:szCs w:val="28"/>
              </w:rPr>
              <w:lastRenderedPageBreak/>
              <w:t>в_2</w:t>
            </w:r>
          </w:p>
        </w:tc>
        <w:tc>
          <w:tcPr>
            <w:tcW w:w="4673" w:type="dxa"/>
          </w:tcPr>
          <w:p w14:paraId="272934AD" w14:textId="24DC2D27" w:rsidR="004E3F41" w:rsidRDefault="00A37EB7" w:rsidP="00494B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37EB7">
              <w:rPr>
                <w:rFonts w:ascii="Times New Roman" w:hAnsi="Times New Roman"/>
                <w:sz w:val="28"/>
                <w:szCs w:val="28"/>
              </w:rPr>
              <w:t>Год</w:t>
            </w:r>
          </w:p>
        </w:tc>
      </w:tr>
      <w:tr w:rsidR="004E3F41" w14:paraId="2460D7C9" w14:textId="77777777" w:rsidTr="004E3F41">
        <w:tc>
          <w:tcPr>
            <w:tcW w:w="4672" w:type="dxa"/>
          </w:tcPr>
          <w:p w14:paraId="2FDD996E" w14:textId="1E014E34" w:rsidR="004E3F41" w:rsidRDefault="005B0934" w:rsidP="00494B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в_3</w:t>
            </w:r>
            <w:r w:rsidR="00A37EB7">
              <w:rPr>
                <w:rFonts w:ascii="Times New Roman" w:hAnsi="Times New Roman"/>
                <w:sz w:val="28"/>
                <w:szCs w:val="28"/>
              </w:rPr>
              <w:t xml:space="preserve"> (зависимая переменная)</w:t>
            </w:r>
          </w:p>
        </w:tc>
        <w:tc>
          <w:tcPr>
            <w:tcW w:w="4673" w:type="dxa"/>
          </w:tcPr>
          <w:p w14:paraId="6353E40E" w14:textId="0D12E352" w:rsidR="004E3F41" w:rsidRDefault="00A37EB7" w:rsidP="00494B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37EB7">
              <w:rPr>
                <w:rFonts w:ascii="Times New Roman" w:hAnsi="Times New Roman"/>
                <w:sz w:val="28"/>
                <w:szCs w:val="28"/>
              </w:rPr>
              <w:t>Суммарный объём венчурных инвестиций, млн долл.</w:t>
            </w:r>
          </w:p>
        </w:tc>
      </w:tr>
      <w:tr w:rsidR="004E3F41" w14:paraId="1EE3C3DB" w14:textId="77777777" w:rsidTr="004E3F41">
        <w:tc>
          <w:tcPr>
            <w:tcW w:w="4672" w:type="dxa"/>
          </w:tcPr>
          <w:p w14:paraId="324306AC" w14:textId="48FE7D74" w:rsidR="004E3F41" w:rsidRDefault="005B0934" w:rsidP="00494B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в_4</w:t>
            </w:r>
            <w:r w:rsidR="00A37EB7">
              <w:rPr>
                <w:rFonts w:ascii="Times New Roman" w:hAnsi="Times New Roman"/>
                <w:sz w:val="28"/>
                <w:szCs w:val="28"/>
              </w:rPr>
              <w:t xml:space="preserve"> (независимая переменная)</w:t>
            </w:r>
          </w:p>
        </w:tc>
        <w:tc>
          <w:tcPr>
            <w:tcW w:w="4673" w:type="dxa"/>
          </w:tcPr>
          <w:p w14:paraId="5063C75B" w14:textId="2A0DCC98" w:rsidR="004E3F41" w:rsidRDefault="00A37EB7" w:rsidP="00494B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37EB7">
              <w:rPr>
                <w:rFonts w:ascii="Times New Roman" w:hAnsi="Times New Roman"/>
                <w:sz w:val="28"/>
                <w:szCs w:val="28"/>
              </w:rPr>
              <w:t>Качество институтов</w:t>
            </w:r>
          </w:p>
        </w:tc>
      </w:tr>
      <w:tr w:rsidR="004E3F41" w14:paraId="3D44E825" w14:textId="77777777" w:rsidTr="004E3F41">
        <w:tc>
          <w:tcPr>
            <w:tcW w:w="4672" w:type="dxa"/>
          </w:tcPr>
          <w:p w14:paraId="22DD5B36" w14:textId="774CC45A" w:rsidR="004E3F41" w:rsidRDefault="005B0934" w:rsidP="00494B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в_5</w:t>
            </w:r>
            <w:r w:rsidR="00A37EB7">
              <w:rPr>
                <w:rFonts w:ascii="Times New Roman" w:hAnsi="Times New Roman"/>
                <w:sz w:val="28"/>
                <w:szCs w:val="28"/>
              </w:rPr>
              <w:t xml:space="preserve"> (независимая переменная)</w:t>
            </w:r>
          </w:p>
        </w:tc>
        <w:tc>
          <w:tcPr>
            <w:tcW w:w="4673" w:type="dxa"/>
          </w:tcPr>
          <w:p w14:paraId="2100F85E" w14:textId="6AC9BF3C" w:rsidR="004E3F41" w:rsidRDefault="00A37EB7" w:rsidP="00494B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37EB7">
              <w:rPr>
                <w:rFonts w:ascii="Times New Roman" w:hAnsi="Times New Roman"/>
                <w:sz w:val="28"/>
                <w:szCs w:val="28"/>
              </w:rPr>
              <w:t>Инфраструктура</w:t>
            </w:r>
          </w:p>
        </w:tc>
      </w:tr>
      <w:tr w:rsidR="004E3F41" w14:paraId="6E99E55D" w14:textId="77777777" w:rsidTr="004E3F41">
        <w:tc>
          <w:tcPr>
            <w:tcW w:w="4672" w:type="dxa"/>
          </w:tcPr>
          <w:p w14:paraId="178A9D8C" w14:textId="67E23D4E" w:rsidR="004E3F41" w:rsidRDefault="00A37EB7" w:rsidP="00494B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5B0934">
              <w:rPr>
                <w:rFonts w:ascii="Times New Roman" w:hAnsi="Times New Roman"/>
                <w:sz w:val="28"/>
                <w:szCs w:val="28"/>
              </w:rPr>
              <w:t>_6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(независимая переменная)</w:t>
            </w:r>
          </w:p>
        </w:tc>
        <w:tc>
          <w:tcPr>
            <w:tcW w:w="4673" w:type="dxa"/>
          </w:tcPr>
          <w:p w14:paraId="3BCACFFD" w14:textId="2807518A" w:rsidR="004E3F41" w:rsidRDefault="00A37EB7" w:rsidP="00494B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37EB7">
              <w:rPr>
                <w:rFonts w:ascii="Times New Roman" w:hAnsi="Times New Roman"/>
                <w:sz w:val="28"/>
                <w:szCs w:val="28"/>
              </w:rPr>
              <w:t>Макроэкономическая стабильность</w:t>
            </w:r>
          </w:p>
        </w:tc>
      </w:tr>
      <w:tr w:rsidR="004E3F41" w14:paraId="2B121E0D" w14:textId="77777777" w:rsidTr="004E3F41">
        <w:tc>
          <w:tcPr>
            <w:tcW w:w="4672" w:type="dxa"/>
          </w:tcPr>
          <w:p w14:paraId="2101136D" w14:textId="35F5EB0D" w:rsidR="004E3F41" w:rsidRDefault="00A37EB7" w:rsidP="00494B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5B0934">
              <w:rPr>
                <w:rFonts w:ascii="Times New Roman" w:hAnsi="Times New Roman"/>
                <w:sz w:val="28"/>
                <w:szCs w:val="28"/>
              </w:rPr>
              <w:t>_7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(независимая переменная)</w:t>
            </w:r>
          </w:p>
        </w:tc>
        <w:tc>
          <w:tcPr>
            <w:tcW w:w="4673" w:type="dxa"/>
          </w:tcPr>
          <w:p w14:paraId="41531324" w14:textId="3DB5A414" w:rsidR="004E3F41" w:rsidRDefault="00A37EB7" w:rsidP="00494B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37EB7">
              <w:rPr>
                <w:rFonts w:ascii="Times New Roman" w:hAnsi="Times New Roman"/>
                <w:sz w:val="28"/>
                <w:szCs w:val="28"/>
              </w:rPr>
              <w:t>Здравоохранение и начальное образование</w:t>
            </w:r>
          </w:p>
        </w:tc>
      </w:tr>
      <w:tr w:rsidR="004E3F41" w14:paraId="56F3755E" w14:textId="77777777" w:rsidTr="004E3F41">
        <w:tc>
          <w:tcPr>
            <w:tcW w:w="4672" w:type="dxa"/>
          </w:tcPr>
          <w:p w14:paraId="6674011D" w14:textId="60512829" w:rsidR="004E3F41" w:rsidRDefault="00A37EB7" w:rsidP="00494B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5B0934">
              <w:rPr>
                <w:rFonts w:ascii="Times New Roman" w:hAnsi="Times New Roman"/>
                <w:sz w:val="28"/>
                <w:szCs w:val="28"/>
              </w:rPr>
              <w:t>_8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(независимая переменная)</w:t>
            </w:r>
          </w:p>
        </w:tc>
        <w:tc>
          <w:tcPr>
            <w:tcW w:w="4673" w:type="dxa"/>
          </w:tcPr>
          <w:p w14:paraId="0B5BAC73" w14:textId="52E92878" w:rsidR="004E3F41" w:rsidRDefault="00A37EB7" w:rsidP="00494B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37EB7">
              <w:rPr>
                <w:rFonts w:ascii="Times New Roman" w:hAnsi="Times New Roman"/>
                <w:sz w:val="28"/>
                <w:szCs w:val="28"/>
              </w:rPr>
              <w:t xml:space="preserve">Высшее образование и </w:t>
            </w:r>
            <w:proofErr w:type="spellStart"/>
            <w:proofErr w:type="gramStart"/>
            <w:r w:rsidRPr="00A37EB7">
              <w:rPr>
                <w:rFonts w:ascii="Times New Roman" w:hAnsi="Times New Roman"/>
                <w:sz w:val="28"/>
                <w:szCs w:val="28"/>
              </w:rPr>
              <w:t>проф.подготовка</w:t>
            </w:r>
            <w:proofErr w:type="spellEnd"/>
            <w:proofErr w:type="gramEnd"/>
          </w:p>
        </w:tc>
      </w:tr>
      <w:tr w:rsidR="004E3F41" w14:paraId="3495448D" w14:textId="77777777" w:rsidTr="004E3F41">
        <w:tc>
          <w:tcPr>
            <w:tcW w:w="4672" w:type="dxa"/>
          </w:tcPr>
          <w:p w14:paraId="648A673E" w14:textId="26345E43" w:rsidR="004E3F41" w:rsidRDefault="00A37EB7" w:rsidP="00494B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5B0934">
              <w:rPr>
                <w:rFonts w:ascii="Times New Roman" w:hAnsi="Times New Roman"/>
                <w:sz w:val="28"/>
                <w:szCs w:val="28"/>
              </w:rPr>
              <w:t>_9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(независимая переменная)</w:t>
            </w:r>
          </w:p>
        </w:tc>
        <w:tc>
          <w:tcPr>
            <w:tcW w:w="4673" w:type="dxa"/>
          </w:tcPr>
          <w:p w14:paraId="2CA79895" w14:textId="2AC22303" w:rsidR="004E3F41" w:rsidRDefault="00A37EB7" w:rsidP="00494B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37EB7">
              <w:rPr>
                <w:rFonts w:ascii="Times New Roman" w:hAnsi="Times New Roman"/>
                <w:sz w:val="28"/>
                <w:szCs w:val="28"/>
              </w:rPr>
              <w:t>Эффективность рынка товаров и услуг</w:t>
            </w:r>
          </w:p>
        </w:tc>
      </w:tr>
      <w:tr w:rsidR="004E3F41" w14:paraId="66F4EB53" w14:textId="77777777" w:rsidTr="004E3F41">
        <w:tc>
          <w:tcPr>
            <w:tcW w:w="4672" w:type="dxa"/>
          </w:tcPr>
          <w:p w14:paraId="01363F04" w14:textId="6A766E32" w:rsidR="004E3F41" w:rsidRDefault="00A37EB7" w:rsidP="00494B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C80E12">
              <w:rPr>
                <w:rFonts w:ascii="Times New Roman" w:hAnsi="Times New Roman"/>
                <w:sz w:val="28"/>
                <w:szCs w:val="28"/>
              </w:rPr>
              <w:t>_</w:t>
            </w:r>
            <w:r w:rsidR="005B0934">
              <w:rPr>
                <w:rFonts w:ascii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(независимая переменная)</w:t>
            </w:r>
          </w:p>
        </w:tc>
        <w:tc>
          <w:tcPr>
            <w:tcW w:w="4673" w:type="dxa"/>
          </w:tcPr>
          <w:p w14:paraId="191C1F99" w14:textId="23C39EC3" w:rsidR="004E3F41" w:rsidRDefault="00A37EB7" w:rsidP="00494B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37EB7">
              <w:rPr>
                <w:rFonts w:ascii="Times New Roman" w:hAnsi="Times New Roman"/>
                <w:sz w:val="28"/>
                <w:szCs w:val="28"/>
              </w:rPr>
              <w:t>Эффективность рынка труда</w:t>
            </w:r>
          </w:p>
        </w:tc>
      </w:tr>
      <w:tr w:rsidR="004E3F41" w14:paraId="0096C010" w14:textId="77777777" w:rsidTr="004E3F41">
        <w:tc>
          <w:tcPr>
            <w:tcW w:w="4672" w:type="dxa"/>
          </w:tcPr>
          <w:p w14:paraId="36A2B9B7" w14:textId="5B907522" w:rsidR="004E3F41" w:rsidRDefault="00A37EB7" w:rsidP="00494B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5B0934">
              <w:rPr>
                <w:rFonts w:ascii="Times New Roman" w:hAnsi="Times New Roman"/>
                <w:sz w:val="28"/>
                <w:szCs w:val="28"/>
              </w:rPr>
              <w:t>_11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(независимая переменная)</w:t>
            </w:r>
          </w:p>
        </w:tc>
        <w:tc>
          <w:tcPr>
            <w:tcW w:w="4673" w:type="dxa"/>
          </w:tcPr>
          <w:p w14:paraId="1BBB6ECF" w14:textId="7408BB75" w:rsidR="004E3F41" w:rsidRDefault="00A37EB7" w:rsidP="00494B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37EB7">
              <w:rPr>
                <w:rFonts w:ascii="Times New Roman" w:hAnsi="Times New Roman"/>
                <w:sz w:val="28"/>
                <w:szCs w:val="28"/>
              </w:rPr>
              <w:t>Развитость финансового рынка</w:t>
            </w:r>
          </w:p>
        </w:tc>
      </w:tr>
      <w:tr w:rsidR="004E3F41" w14:paraId="739DD7AC" w14:textId="77777777" w:rsidTr="004E3F41">
        <w:tc>
          <w:tcPr>
            <w:tcW w:w="4672" w:type="dxa"/>
          </w:tcPr>
          <w:p w14:paraId="23558786" w14:textId="7262D8AD" w:rsidR="004E3F41" w:rsidRDefault="00A37EB7" w:rsidP="00494B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5B0934">
              <w:rPr>
                <w:rFonts w:ascii="Times New Roman" w:hAnsi="Times New Roman"/>
                <w:sz w:val="28"/>
                <w:szCs w:val="28"/>
              </w:rPr>
              <w:t>_12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(независимая переменная)</w:t>
            </w:r>
          </w:p>
        </w:tc>
        <w:tc>
          <w:tcPr>
            <w:tcW w:w="4673" w:type="dxa"/>
          </w:tcPr>
          <w:p w14:paraId="233CEEB2" w14:textId="0F3AE5B9" w:rsidR="004E3F41" w:rsidRDefault="00A37EB7" w:rsidP="00494B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37EB7">
              <w:rPr>
                <w:rFonts w:ascii="Times New Roman" w:hAnsi="Times New Roman"/>
                <w:sz w:val="28"/>
                <w:szCs w:val="28"/>
              </w:rPr>
              <w:t>Уровень технологического развития (</w:t>
            </w:r>
            <w:proofErr w:type="spellStart"/>
            <w:r w:rsidRPr="00A37EB7">
              <w:rPr>
                <w:rFonts w:ascii="Times New Roman" w:hAnsi="Times New Roman"/>
                <w:sz w:val="28"/>
                <w:szCs w:val="28"/>
              </w:rPr>
              <w:t>Technological</w:t>
            </w:r>
            <w:proofErr w:type="spellEnd"/>
            <w:r w:rsidRPr="00A37E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37EB7">
              <w:rPr>
                <w:rFonts w:ascii="Times New Roman" w:hAnsi="Times New Roman"/>
                <w:sz w:val="28"/>
                <w:szCs w:val="28"/>
              </w:rPr>
              <w:t>Readiness</w:t>
            </w:r>
            <w:proofErr w:type="spellEnd"/>
            <w:r w:rsidRPr="00A37EB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4E3F41" w:rsidRPr="009151A8" w14:paraId="115E37F7" w14:textId="77777777" w:rsidTr="004E3F41">
        <w:tc>
          <w:tcPr>
            <w:tcW w:w="4672" w:type="dxa"/>
          </w:tcPr>
          <w:p w14:paraId="1ADB4645" w14:textId="2BFC68F1" w:rsidR="004E3F41" w:rsidRDefault="00A37EB7" w:rsidP="00494B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5B0934">
              <w:rPr>
                <w:rFonts w:ascii="Times New Roman" w:hAnsi="Times New Roman"/>
                <w:sz w:val="28"/>
                <w:szCs w:val="28"/>
              </w:rPr>
              <w:t>_13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(независимая переменная)</w:t>
            </w:r>
          </w:p>
        </w:tc>
        <w:tc>
          <w:tcPr>
            <w:tcW w:w="4673" w:type="dxa"/>
          </w:tcPr>
          <w:p w14:paraId="69237C23" w14:textId="03458568" w:rsidR="004E3F41" w:rsidRPr="00F535CB" w:rsidRDefault="00A37EB7" w:rsidP="00494B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Динамика</w:t>
            </w:r>
            <w:r w:rsidRPr="00F535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бизнеса</w:t>
            </w:r>
            <w:r w:rsidRPr="00F535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(Business sophistication / dynamism)</w:t>
            </w:r>
          </w:p>
        </w:tc>
      </w:tr>
      <w:tr w:rsidR="004E3F41" w14:paraId="3A55C53C" w14:textId="77777777" w:rsidTr="004E3F41">
        <w:tc>
          <w:tcPr>
            <w:tcW w:w="4672" w:type="dxa"/>
          </w:tcPr>
          <w:p w14:paraId="58D206E4" w14:textId="3A15160B" w:rsidR="004E3F41" w:rsidRDefault="00A37EB7" w:rsidP="00494B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5B0934">
              <w:rPr>
                <w:rFonts w:ascii="Times New Roman" w:hAnsi="Times New Roman"/>
                <w:sz w:val="28"/>
                <w:szCs w:val="28"/>
              </w:rPr>
              <w:t>_14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(независимая переменная)</w:t>
            </w:r>
          </w:p>
        </w:tc>
        <w:tc>
          <w:tcPr>
            <w:tcW w:w="4673" w:type="dxa"/>
          </w:tcPr>
          <w:p w14:paraId="0C5F2D33" w14:textId="4E9FA86F" w:rsidR="004E3F41" w:rsidRDefault="00A37EB7" w:rsidP="00494B8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37EB7">
              <w:rPr>
                <w:rFonts w:ascii="Times New Roman" w:hAnsi="Times New Roman"/>
                <w:sz w:val="28"/>
                <w:szCs w:val="28"/>
              </w:rPr>
              <w:t>Инновационный потенциал</w:t>
            </w:r>
          </w:p>
        </w:tc>
      </w:tr>
    </w:tbl>
    <w:p w14:paraId="75DA5C67" w14:textId="1F4786D8" w:rsidR="00AF7211" w:rsidRPr="0014568C" w:rsidRDefault="00AF7211" w:rsidP="006514C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Фактор размера внутреннего рынка не включается в модель, так как </w:t>
      </w:r>
      <w:r w:rsidR="0014568C">
        <w:rPr>
          <w:rFonts w:ascii="Times New Roman" w:hAnsi="Times New Roman"/>
          <w:sz w:val="28"/>
          <w:szCs w:val="28"/>
        </w:rPr>
        <w:t>венчурные инвестиции (особенно в Северной Европ</w:t>
      </w:r>
      <w:r w:rsidR="00B26A48">
        <w:rPr>
          <w:rFonts w:ascii="Times New Roman" w:hAnsi="Times New Roman"/>
          <w:sz w:val="28"/>
          <w:szCs w:val="28"/>
        </w:rPr>
        <w:t>е</w:t>
      </w:r>
      <w:r w:rsidR="0014568C">
        <w:rPr>
          <w:rFonts w:ascii="Times New Roman" w:hAnsi="Times New Roman"/>
          <w:sz w:val="28"/>
          <w:szCs w:val="28"/>
        </w:rPr>
        <w:t xml:space="preserve">) ориентированы в первую очередь на мировую рыночную экспансию, а не </w:t>
      </w:r>
      <w:r w:rsidR="00936820">
        <w:rPr>
          <w:rFonts w:ascii="Times New Roman" w:hAnsi="Times New Roman"/>
          <w:sz w:val="28"/>
          <w:szCs w:val="28"/>
        </w:rPr>
        <w:t xml:space="preserve">на </w:t>
      </w:r>
      <w:r w:rsidR="0014568C">
        <w:rPr>
          <w:rFonts w:ascii="Times New Roman" w:hAnsi="Times New Roman"/>
          <w:sz w:val="28"/>
          <w:szCs w:val="28"/>
        </w:rPr>
        <w:t>внутренн</w:t>
      </w:r>
      <w:r w:rsidR="00936820">
        <w:rPr>
          <w:rFonts w:ascii="Times New Roman" w:hAnsi="Times New Roman"/>
          <w:sz w:val="28"/>
          <w:szCs w:val="28"/>
        </w:rPr>
        <w:t>и</w:t>
      </w:r>
      <w:r w:rsidR="0014568C">
        <w:rPr>
          <w:rFonts w:ascii="Times New Roman" w:hAnsi="Times New Roman"/>
          <w:sz w:val="28"/>
          <w:szCs w:val="28"/>
        </w:rPr>
        <w:t>й рынок, который в случае рассматриваемых стран очень мал.</w:t>
      </w:r>
    </w:p>
    <w:p w14:paraId="28857572" w14:textId="6F9511BA" w:rsidR="00C80E12" w:rsidRPr="00E07099" w:rsidRDefault="00697527" w:rsidP="00E07099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Возможным недостатком проводимого исследования, которое может существенно отразиться на результатах, становится факт изменения в методиках и определениях факторов конкурентоспособности (менялись и в том числе их названия). Тем не менее, в целом все «новые» факторы оказались схожими по смысловому значению с предыдущими, в результате чего совместить оценки для разных (от года к году) факторов оказалось возможным. Так</w:t>
      </w:r>
      <w:r w:rsidRPr="00F22D56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например</w:t>
      </w:r>
      <w:r w:rsidRPr="00F22D56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с</w:t>
      </w:r>
      <w:r w:rsidRPr="00F22D56">
        <w:rPr>
          <w:rFonts w:ascii="Times New Roman" w:hAnsi="Times New Roman"/>
          <w:sz w:val="28"/>
          <w:szCs w:val="28"/>
          <w:lang w:val="en-US"/>
        </w:rPr>
        <w:t xml:space="preserve"> 20</w:t>
      </w:r>
      <w:r w:rsidRPr="00C26434">
        <w:rPr>
          <w:rFonts w:ascii="Times New Roman" w:hAnsi="Times New Roman"/>
          <w:sz w:val="28"/>
          <w:szCs w:val="28"/>
          <w:lang w:val="en-US"/>
        </w:rPr>
        <w:t>1</w:t>
      </w:r>
      <w:r w:rsidRPr="00F22D56">
        <w:rPr>
          <w:rFonts w:ascii="Times New Roman" w:hAnsi="Times New Roman"/>
          <w:sz w:val="28"/>
          <w:szCs w:val="28"/>
          <w:lang w:val="en-US"/>
        </w:rPr>
        <w:t xml:space="preserve">8 </w:t>
      </w:r>
      <w:r>
        <w:rPr>
          <w:rFonts w:ascii="Times New Roman" w:hAnsi="Times New Roman"/>
          <w:sz w:val="28"/>
          <w:szCs w:val="28"/>
        </w:rPr>
        <w:t>г</w:t>
      </w:r>
      <w:r w:rsidRPr="00F22D56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факторы</w:t>
      </w:r>
      <w:r w:rsidRPr="00F22D56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Health</w:t>
      </w:r>
      <w:r w:rsidRPr="00F22D56">
        <w:rPr>
          <w:rFonts w:ascii="Times New Roman" w:hAnsi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/>
          <w:sz w:val="28"/>
          <w:szCs w:val="28"/>
        </w:rPr>
        <w:t>и</w:t>
      </w:r>
      <w:r w:rsidRPr="00F22D56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Skills</w:t>
      </w:r>
      <w:r w:rsidRPr="00F22D56">
        <w:rPr>
          <w:rFonts w:ascii="Times New Roman" w:hAnsi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/>
          <w:sz w:val="28"/>
          <w:szCs w:val="28"/>
        </w:rPr>
        <w:t>заменили</w:t>
      </w:r>
      <w:r w:rsidRPr="00F22D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F22D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рейтинге</w:t>
      </w:r>
      <w:r w:rsidRPr="00F22D56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Health</w:t>
      </w:r>
      <w:r w:rsidRPr="00F22D56">
        <w:rPr>
          <w:rFonts w:ascii="Times New Roman" w:hAnsi="Times New Roman"/>
          <w:sz w:val="28"/>
          <w:szCs w:val="28"/>
          <w:lang w:val="en-US"/>
        </w:rPr>
        <w:t xml:space="preserve"> &amp; </w:t>
      </w:r>
      <w:r>
        <w:rPr>
          <w:rFonts w:ascii="Times New Roman" w:hAnsi="Times New Roman"/>
          <w:sz w:val="28"/>
          <w:szCs w:val="28"/>
          <w:lang w:val="en-US"/>
        </w:rPr>
        <w:t>Primary</w:t>
      </w:r>
      <w:r w:rsidRPr="00F22D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Education</w:t>
      </w:r>
      <w:r w:rsidRPr="00F22D56">
        <w:rPr>
          <w:rFonts w:ascii="Times New Roman" w:hAnsi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/>
          <w:sz w:val="28"/>
          <w:szCs w:val="28"/>
        </w:rPr>
        <w:t>и</w:t>
      </w:r>
      <w:r w:rsidRPr="00F22D56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Higher</w:t>
      </w:r>
      <w:r w:rsidRPr="00F22D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Education and Training</w:t>
      </w:r>
      <w:r w:rsidRPr="00F22D56">
        <w:rPr>
          <w:rFonts w:ascii="Times New Roman" w:hAnsi="Times New Roman"/>
          <w:sz w:val="28"/>
          <w:szCs w:val="28"/>
          <w:lang w:val="en-US"/>
        </w:rPr>
        <w:t xml:space="preserve">», </w:t>
      </w:r>
      <w:r>
        <w:rPr>
          <w:rFonts w:ascii="Times New Roman" w:hAnsi="Times New Roman"/>
          <w:sz w:val="28"/>
          <w:szCs w:val="28"/>
        </w:rPr>
        <w:t>а</w:t>
      </w:r>
      <w:r w:rsidRPr="00F22D56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ICT</w:t>
      </w:r>
      <w:r w:rsidRPr="00F22D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Adoption</w:t>
      </w:r>
      <w:r w:rsidRPr="00F22D56">
        <w:rPr>
          <w:rFonts w:ascii="Times New Roman" w:hAnsi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/>
          <w:sz w:val="28"/>
          <w:szCs w:val="28"/>
        </w:rPr>
        <w:t>пришёл</w:t>
      </w:r>
      <w:r w:rsidRPr="00F22D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F22D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смену</w:t>
      </w:r>
      <w:r w:rsidRPr="00F22D56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Technological</w:t>
      </w:r>
      <w:r w:rsidRPr="00F22D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Readiness</w:t>
      </w:r>
      <w:r w:rsidRPr="00F22D56">
        <w:rPr>
          <w:rFonts w:ascii="Times New Roman" w:hAnsi="Times New Roman"/>
          <w:sz w:val="28"/>
          <w:szCs w:val="28"/>
          <w:lang w:val="en-US"/>
        </w:rPr>
        <w:t>»</w:t>
      </w:r>
      <w:r w:rsidRPr="00B80E6F">
        <w:rPr>
          <w:rFonts w:ascii="Times New Roman" w:hAnsi="Times New Roman"/>
          <w:sz w:val="28"/>
          <w:szCs w:val="28"/>
          <w:lang w:val="en-US"/>
        </w:rPr>
        <w:t>.</w:t>
      </w:r>
    </w:p>
    <w:p w14:paraId="054D50D2" w14:textId="0B02BA6F" w:rsidR="00C80E12" w:rsidRPr="00C80E12" w:rsidRDefault="00C80E12" w:rsidP="006514CD">
      <w:pPr>
        <w:spacing w:after="0"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Построенную в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SPSS</w:t>
      </w:r>
      <w:r w:rsidRPr="00C80E1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линейную множественную регрессию в существующих обозначениях можно представить в виде следующего уравнения:</w:t>
      </w:r>
    </w:p>
    <w:p w14:paraId="1AF11CBA" w14:textId="77777777" w:rsidR="00B07279" w:rsidRPr="00C80E12" w:rsidRDefault="00B07279" w:rsidP="006514CD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4D3A5FE" w14:textId="0CB34AE1" w:rsidR="000C0747" w:rsidRPr="005230BA" w:rsidRDefault="00C80E12" w:rsidP="005230BA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в</w:t>
      </w:r>
      <w:r>
        <w:rPr>
          <w:rFonts w:ascii="Times New Roman" w:hAnsi="Times New Roman"/>
          <w:sz w:val="28"/>
          <w:szCs w:val="28"/>
        </w:rPr>
        <w:t>_</w:t>
      </w:r>
      <w:r w:rsidR="0020367D">
        <w:rPr>
          <w:rFonts w:ascii="Times New Roman" w:hAnsi="Times New Roman"/>
          <w:sz w:val="28"/>
          <w:szCs w:val="28"/>
        </w:rPr>
        <w:t>3 =</w:t>
      </w:r>
      <w:r w:rsidR="0054430D">
        <w:rPr>
          <w:rFonts w:ascii="Times New Roman" w:hAnsi="Times New Roman"/>
          <w:sz w:val="28"/>
          <w:szCs w:val="28"/>
        </w:rPr>
        <w:t xml:space="preserve"> 131,313</w:t>
      </w:r>
      <w:r w:rsidR="0020367D">
        <w:rPr>
          <w:rFonts w:ascii="Times New Roman" w:hAnsi="Times New Roman"/>
          <w:sz w:val="28"/>
          <w:szCs w:val="28"/>
        </w:rPr>
        <w:t xml:space="preserve"> </w:t>
      </w:r>
      <w:r w:rsidR="0054430D">
        <w:rPr>
          <w:rFonts w:ascii="Times New Roman" w:hAnsi="Times New Roman"/>
          <w:sz w:val="28"/>
          <w:szCs w:val="28"/>
        </w:rPr>
        <w:t>- 210,958</w:t>
      </w:r>
      <w:r w:rsidR="0020367D">
        <w:rPr>
          <w:rFonts w:ascii="Times New Roman" w:hAnsi="Times New Roman"/>
          <w:sz w:val="28"/>
          <w:szCs w:val="28"/>
        </w:rPr>
        <w:t xml:space="preserve"> * в_4 </w:t>
      </w:r>
      <w:r w:rsidR="0054430D">
        <w:rPr>
          <w:rFonts w:ascii="Times New Roman" w:hAnsi="Times New Roman"/>
          <w:sz w:val="28"/>
          <w:szCs w:val="28"/>
        </w:rPr>
        <w:t>– 47,110 * в_5 – 69,379 * в_6 – 181,318 * в_7 – 102,130 * в_8 + 202,025 * в_9 – 167,666 * в_10 + 308,905 * в_11 + 8,507 * в_12 + 349,232 * в_13 – 2,720 * в</w:t>
      </w:r>
      <w:r w:rsidR="00A0277E">
        <w:rPr>
          <w:rFonts w:ascii="Times New Roman" w:hAnsi="Times New Roman"/>
          <w:sz w:val="28"/>
          <w:szCs w:val="28"/>
        </w:rPr>
        <w:t>_14</w:t>
      </w:r>
    </w:p>
    <w:p w14:paraId="09CBC5D1" w14:textId="29FCBFE8" w:rsidR="00471044" w:rsidRDefault="00471044" w:rsidP="006514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Получили значимые коэффициенты при следующих факторах</w:t>
      </w:r>
      <w:r w:rsidR="001421D7">
        <w:rPr>
          <w:rFonts w:ascii="Times New Roman" w:hAnsi="Times New Roman" w:cs="Times New Roman"/>
          <w:sz w:val="28"/>
        </w:rPr>
        <w:t xml:space="preserve"> (таблица 13)</w:t>
      </w:r>
      <w:r>
        <w:rPr>
          <w:rFonts w:ascii="Times New Roman" w:hAnsi="Times New Roman" w:cs="Times New Roman"/>
          <w:sz w:val="28"/>
        </w:rPr>
        <w:t xml:space="preserve">: </w:t>
      </w:r>
      <w:r w:rsidR="00442A1A">
        <w:rPr>
          <w:rFonts w:ascii="Times New Roman" w:hAnsi="Times New Roman" w:cs="Times New Roman"/>
          <w:sz w:val="28"/>
        </w:rPr>
        <w:t>качество институтов, макроэкономическая стабильность, эффективность рынка товаров и услуг, эффективность рынка труда, развитость финансового рынка, динамика бизнеса (все – на уровне 1%), здравоохранение и начальное образование (лишь на уровне 10%)</w:t>
      </w:r>
      <w:r w:rsidR="00FF4918">
        <w:rPr>
          <w:rFonts w:ascii="Times New Roman" w:hAnsi="Times New Roman" w:cs="Times New Roman"/>
          <w:sz w:val="28"/>
        </w:rPr>
        <w:t xml:space="preserve">. От влияния таких факторов, как «здравоохранение и начальное образование» и «высшее образование и </w:t>
      </w:r>
      <w:proofErr w:type="spellStart"/>
      <w:proofErr w:type="gramStart"/>
      <w:r w:rsidR="00FF4918">
        <w:rPr>
          <w:rFonts w:ascii="Times New Roman" w:hAnsi="Times New Roman" w:cs="Times New Roman"/>
          <w:sz w:val="28"/>
        </w:rPr>
        <w:t>проф.подготовка</w:t>
      </w:r>
      <w:proofErr w:type="spellEnd"/>
      <w:proofErr w:type="gramEnd"/>
      <w:r w:rsidR="00FF4918">
        <w:rPr>
          <w:rFonts w:ascii="Times New Roman" w:hAnsi="Times New Roman" w:cs="Times New Roman"/>
          <w:sz w:val="28"/>
        </w:rPr>
        <w:t>»</w:t>
      </w:r>
      <w:r w:rsidR="00FD5DCC">
        <w:rPr>
          <w:rFonts w:ascii="Times New Roman" w:hAnsi="Times New Roman" w:cs="Times New Roman"/>
          <w:sz w:val="28"/>
        </w:rPr>
        <w:t xml:space="preserve"> (характеризующие развитие человеческого капитала)</w:t>
      </w:r>
      <w:r w:rsidR="006904CD">
        <w:rPr>
          <w:rFonts w:ascii="Times New Roman" w:hAnsi="Times New Roman" w:cs="Times New Roman"/>
          <w:sz w:val="28"/>
        </w:rPr>
        <w:t>, не стоит отказываться, несмотря на низкие уровни значимости, - они имеют одни из наиболее высоких частных предельных эффектов</w:t>
      </w:r>
      <w:r w:rsidR="00B60EDC">
        <w:rPr>
          <w:rFonts w:ascii="Times New Roman" w:hAnsi="Times New Roman" w:cs="Times New Roman"/>
          <w:sz w:val="28"/>
        </w:rPr>
        <w:t xml:space="preserve"> (значения, взятые по модулю)</w:t>
      </w:r>
      <w:r w:rsidR="006904CD">
        <w:rPr>
          <w:rFonts w:ascii="Times New Roman" w:hAnsi="Times New Roman" w:cs="Times New Roman"/>
          <w:sz w:val="28"/>
        </w:rPr>
        <w:t>.</w:t>
      </w:r>
      <w:r w:rsidR="00B60EDC">
        <w:rPr>
          <w:rFonts w:ascii="Times New Roman" w:hAnsi="Times New Roman" w:cs="Times New Roman"/>
          <w:sz w:val="28"/>
        </w:rPr>
        <w:t xml:space="preserve"> Наиболее высокие предельные эффекты у факторов «динамика бизнеса» и «развитость финансового рынка».</w:t>
      </w:r>
    </w:p>
    <w:p w14:paraId="01B984AB" w14:textId="2A53E5A8" w:rsidR="00057256" w:rsidRDefault="00057256" w:rsidP="00057256">
      <w:pPr>
        <w:spacing w:after="0" w:line="276" w:lineRule="auto"/>
        <w:ind w:firstLine="708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13.</w:t>
      </w:r>
    </w:p>
    <w:p w14:paraId="56860164" w14:textId="77777777" w:rsidR="0011058A" w:rsidRPr="0011058A" w:rsidRDefault="0011058A" w:rsidP="0011058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0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2410"/>
        <w:gridCol w:w="992"/>
        <w:gridCol w:w="1276"/>
        <w:gridCol w:w="1701"/>
        <w:gridCol w:w="709"/>
        <w:gridCol w:w="1134"/>
        <w:gridCol w:w="5217"/>
      </w:tblGrid>
      <w:tr w:rsidR="0011058A" w:rsidRPr="0011058A" w14:paraId="333E066A" w14:textId="77777777" w:rsidTr="00376A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0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F0356A" w14:textId="77777777" w:rsidR="0011058A" w:rsidRPr="0011058A" w:rsidRDefault="0011058A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1058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Коэффициенты</w:t>
            </w:r>
            <w:r w:rsidRPr="0011058A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376ACF" w:rsidRPr="0011058A" w14:paraId="245ED724" w14:textId="77777777" w:rsidTr="00376ACF">
        <w:tblPrEx>
          <w:tblCellMar>
            <w:top w:w="0" w:type="dxa"/>
            <w:bottom w:w="0" w:type="dxa"/>
          </w:tblCellMar>
        </w:tblPrEx>
        <w:trPr>
          <w:gridAfter w:val="1"/>
          <w:wAfter w:w="5217" w:type="dxa"/>
          <w:cantSplit/>
        </w:trPr>
        <w:tc>
          <w:tcPr>
            <w:tcW w:w="2977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6D88E15A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6"/>
                <w:szCs w:val="18"/>
              </w:rPr>
              <w:t>Модель</w:t>
            </w:r>
          </w:p>
        </w:tc>
        <w:tc>
          <w:tcPr>
            <w:tcW w:w="2268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373A3986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proofErr w:type="spellStart"/>
            <w:r w:rsidRPr="0011058A">
              <w:rPr>
                <w:rFonts w:ascii="Arial" w:hAnsi="Arial" w:cs="Arial"/>
                <w:color w:val="000000"/>
                <w:sz w:val="16"/>
                <w:szCs w:val="18"/>
              </w:rPr>
              <w:t>Нестандартизованные</w:t>
            </w:r>
            <w:proofErr w:type="spellEnd"/>
            <w:r w:rsidRPr="0011058A">
              <w:rPr>
                <w:rFonts w:ascii="Arial" w:hAnsi="Arial" w:cs="Arial"/>
                <w:color w:val="000000"/>
                <w:sz w:val="16"/>
                <w:szCs w:val="18"/>
              </w:rPr>
              <w:t xml:space="preserve"> коэффициенты</w:t>
            </w:r>
          </w:p>
        </w:tc>
        <w:tc>
          <w:tcPr>
            <w:tcW w:w="1701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FBD9F06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6"/>
                <w:szCs w:val="18"/>
              </w:rPr>
              <w:t>Стандартизованные коэффициенты</w:t>
            </w:r>
          </w:p>
        </w:tc>
        <w:tc>
          <w:tcPr>
            <w:tcW w:w="70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88A7EC0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6"/>
                <w:szCs w:val="18"/>
              </w:rPr>
              <w:t>т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42D4FDC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6"/>
                <w:szCs w:val="18"/>
              </w:rPr>
              <w:t>Значимость</w:t>
            </w:r>
          </w:p>
        </w:tc>
      </w:tr>
      <w:tr w:rsidR="00376ACF" w:rsidRPr="0011058A" w14:paraId="2C3AA92B" w14:textId="77777777" w:rsidTr="00376ACF">
        <w:tblPrEx>
          <w:tblCellMar>
            <w:top w:w="0" w:type="dxa"/>
            <w:bottom w:w="0" w:type="dxa"/>
          </w:tblCellMar>
        </w:tblPrEx>
        <w:trPr>
          <w:gridAfter w:val="1"/>
          <w:wAfter w:w="5217" w:type="dxa"/>
          <w:cantSplit/>
        </w:trPr>
        <w:tc>
          <w:tcPr>
            <w:tcW w:w="2977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657054BF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992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17006F8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6"/>
                <w:szCs w:val="18"/>
              </w:rPr>
              <w:t>B</w:t>
            </w:r>
          </w:p>
        </w:tc>
        <w:tc>
          <w:tcPr>
            <w:tcW w:w="127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1C81AEE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6"/>
                <w:szCs w:val="18"/>
              </w:rPr>
              <w:t>Стандартная ошибка</w:t>
            </w:r>
          </w:p>
        </w:tc>
        <w:tc>
          <w:tcPr>
            <w:tcW w:w="170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4BDF733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6"/>
                <w:szCs w:val="18"/>
              </w:rPr>
              <w:t>Бета</w:t>
            </w:r>
          </w:p>
        </w:tc>
        <w:tc>
          <w:tcPr>
            <w:tcW w:w="70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6C13818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D91BF06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</w:tr>
      <w:tr w:rsidR="00376ACF" w:rsidRPr="0011058A" w14:paraId="236ABD17" w14:textId="77777777" w:rsidTr="00376ACF">
        <w:tblPrEx>
          <w:tblCellMar>
            <w:top w:w="0" w:type="dxa"/>
            <w:bottom w:w="0" w:type="dxa"/>
          </w:tblCellMar>
        </w:tblPrEx>
        <w:trPr>
          <w:gridAfter w:val="1"/>
          <w:wAfter w:w="5217" w:type="dxa"/>
          <w:cantSplit/>
        </w:trPr>
        <w:tc>
          <w:tcPr>
            <w:tcW w:w="56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178A79E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1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C33FCC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(Константа)</w:t>
            </w:r>
          </w:p>
        </w:tc>
        <w:tc>
          <w:tcPr>
            <w:tcW w:w="99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73686D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131,313</w:t>
            </w:r>
          </w:p>
        </w:tc>
        <w:tc>
          <w:tcPr>
            <w:tcW w:w="12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B79E60D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571,108</w:t>
            </w:r>
          </w:p>
        </w:tc>
        <w:tc>
          <w:tcPr>
            <w:tcW w:w="170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E7B735E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1058D54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,230</w:t>
            </w:r>
          </w:p>
        </w:tc>
        <w:tc>
          <w:tcPr>
            <w:tcW w:w="11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D0BA17D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,819</w:t>
            </w:r>
          </w:p>
        </w:tc>
      </w:tr>
      <w:tr w:rsidR="00376ACF" w:rsidRPr="0011058A" w14:paraId="70023F3D" w14:textId="77777777" w:rsidTr="00376ACF">
        <w:tblPrEx>
          <w:tblCellMar>
            <w:top w:w="0" w:type="dxa"/>
            <w:bottom w:w="0" w:type="dxa"/>
          </w:tblCellMar>
        </w:tblPrEx>
        <w:trPr>
          <w:gridAfter w:val="1"/>
          <w:wAfter w:w="5217" w:type="dxa"/>
          <w:cantSplit/>
        </w:trPr>
        <w:tc>
          <w:tcPr>
            <w:tcW w:w="56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0E4F040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E1995E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Качество институтов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EC5AE59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-210,958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BE6844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50,440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B2F40A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-,506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48D65D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-4,182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546024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376ACF" w:rsidRPr="0011058A" w14:paraId="1FFD215E" w14:textId="77777777" w:rsidTr="00376ACF">
        <w:tblPrEx>
          <w:tblCellMar>
            <w:top w:w="0" w:type="dxa"/>
            <w:bottom w:w="0" w:type="dxa"/>
          </w:tblCellMar>
        </w:tblPrEx>
        <w:trPr>
          <w:gridAfter w:val="1"/>
          <w:wAfter w:w="5217" w:type="dxa"/>
          <w:cantSplit/>
        </w:trPr>
        <w:tc>
          <w:tcPr>
            <w:tcW w:w="56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140E92B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3DE093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Инфраструктура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DD4BF5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-47,110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B7C6B5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61,584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4EB2EB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-,125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32BECF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-,765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CED214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,449</w:t>
            </w:r>
          </w:p>
        </w:tc>
      </w:tr>
      <w:tr w:rsidR="00376ACF" w:rsidRPr="0011058A" w14:paraId="127285D0" w14:textId="77777777" w:rsidTr="00376ACF">
        <w:tblPrEx>
          <w:tblCellMar>
            <w:top w:w="0" w:type="dxa"/>
            <w:bottom w:w="0" w:type="dxa"/>
          </w:tblCellMar>
        </w:tblPrEx>
        <w:trPr>
          <w:gridAfter w:val="1"/>
          <w:wAfter w:w="5217" w:type="dxa"/>
          <w:cantSplit/>
        </w:trPr>
        <w:tc>
          <w:tcPr>
            <w:tcW w:w="56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CF5E365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218824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Макроэкономическая стабильность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707683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-69,379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7F6A97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21,066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28E504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-,335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E6B334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-3,293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75C043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,002</w:t>
            </w:r>
          </w:p>
        </w:tc>
      </w:tr>
      <w:tr w:rsidR="00376ACF" w:rsidRPr="0011058A" w14:paraId="4859F640" w14:textId="77777777" w:rsidTr="00376ACF">
        <w:tblPrEx>
          <w:tblCellMar>
            <w:top w:w="0" w:type="dxa"/>
            <w:bottom w:w="0" w:type="dxa"/>
          </w:tblCellMar>
        </w:tblPrEx>
        <w:trPr>
          <w:gridAfter w:val="1"/>
          <w:wAfter w:w="5217" w:type="dxa"/>
          <w:cantSplit/>
        </w:trPr>
        <w:tc>
          <w:tcPr>
            <w:tcW w:w="56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E844278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F6E17E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Здравоохранение и начальное образование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3567D5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-181,318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DD0DAD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89,756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6281A3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-,318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14113F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-2,020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E67F37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,051</w:t>
            </w:r>
          </w:p>
        </w:tc>
      </w:tr>
      <w:tr w:rsidR="00376ACF" w:rsidRPr="0011058A" w14:paraId="35C1243C" w14:textId="77777777" w:rsidTr="00376ACF">
        <w:tblPrEx>
          <w:tblCellMar>
            <w:top w:w="0" w:type="dxa"/>
            <w:bottom w:w="0" w:type="dxa"/>
          </w:tblCellMar>
        </w:tblPrEx>
        <w:trPr>
          <w:gridAfter w:val="1"/>
          <w:wAfter w:w="5217" w:type="dxa"/>
          <w:cantSplit/>
        </w:trPr>
        <w:tc>
          <w:tcPr>
            <w:tcW w:w="56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E48D83B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9C2741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 xml:space="preserve">Высшее образование и </w:t>
            </w:r>
            <w:proofErr w:type="spellStart"/>
            <w:proofErr w:type="gramStart"/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проф.подготовка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9A9799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-102,130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B677C9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86,365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1E447F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-,177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367F5A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-1,183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C0508C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,245</w:t>
            </w:r>
          </w:p>
        </w:tc>
      </w:tr>
      <w:tr w:rsidR="00376ACF" w:rsidRPr="0011058A" w14:paraId="25692390" w14:textId="77777777" w:rsidTr="00376ACF">
        <w:tblPrEx>
          <w:tblCellMar>
            <w:top w:w="0" w:type="dxa"/>
            <w:bottom w:w="0" w:type="dxa"/>
          </w:tblCellMar>
        </w:tblPrEx>
        <w:trPr>
          <w:gridAfter w:val="1"/>
          <w:wAfter w:w="5217" w:type="dxa"/>
          <w:cantSplit/>
        </w:trPr>
        <w:tc>
          <w:tcPr>
            <w:tcW w:w="56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D97E198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B66F37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Эффективность рынка товаров и услуг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D57982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202,025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A3329D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61,936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D98854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,383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4FC971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3,262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EFE678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,002</w:t>
            </w:r>
          </w:p>
        </w:tc>
      </w:tr>
      <w:tr w:rsidR="00376ACF" w:rsidRPr="0011058A" w14:paraId="3008E44B" w14:textId="77777777" w:rsidTr="00376ACF">
        <w:tblPrEx>
          <w:tblCellMar>
            <w:top w:w="0" w:type="dxa"/>
            <w:bottom w:w="0" w:type="dxa"/>
          </w:tblCellMar>
        </w:tblPrEx>
        <w:trPr>
          <w:gridAfter w:val="1"/>
          <w:wAfter w:w="5217" w:type="dxa"/>
          <w:cantSplit/>
        </w:trPr>
        <w:tc>
          <w:tcPr>
            <w:tcW w:w="56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D8612DE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8EBA66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Эффективность рынка труда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91962D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-167,666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3AFBE2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50,079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DE0E80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-,324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DF3903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-3,348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9B1350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,002</w:t>
            </w:r>
          </w:p>
        </w:tc>
      </w:tr>
      <w:tr w:rsidR="00376ACF" w:rsidRPr="0011058A" w14:paraId="4F2E9CC7" w14:textId="77777777" w:rsidTr="00376ACF">
        <w:tblPrEx>
          <w:tblCellMar>
            <w:top w:w="0" w:type="dxa"/>
            <w:bottom w:w="0" w:type="dxa"/>
          </w:tblCellMar>
        </w:tblPrEx>
        <w:trPr>
          <w:gridAfter w:val="1"/>
          <w:wAfter w:w="5217" w:type="dxa"/>
          <w:cantSplit/>
        </w:trPr>
        <w:tc>
          <w:tcPr>
            <w:tcW w:w="56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02AD19C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B828A2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Развитость финансового рынка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FBBC52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308,905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747E17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31,634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160C34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1,048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DEE42F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9,765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E4A8E1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376ACF" w:rsidRPr="0011058A" w14:paraId="2CA11F01" w14:textId="77777777" w:rsidTr="00376ACF">
        <w:tblPrEx>
          <w:tblCellMar>
            <w:top w:w="0" w:type="dxa"/>
            <w:bottom w:w="0" w:type="dxa"/>
          </w:tblCellMar>
        </w:tblPrEx>
        <w:trPr>
          <w:gridAfter w:val="1"/>
          <w:wAfter w:w="5217" w:type="dxa"/>
          <w:cantSplit/>
        </w:trPr>
        <w:tc>
          <w:tcPr>
            <w:tcW w:w="56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A4162C6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770FA9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Уровень технологического развития (</w:t>
            </w:r>
            <w:proofErr w:type="spellStart"/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Technological</w:t>
            </w:r>
            <w:proofErr w:type="spellEnd"/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Readiness</w:t>
            </w:r>
            <w:proofErr w:type="spellEnd"/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7A0960A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8,507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A9010E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42,924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9A6700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,018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6E60F0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,198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89AD6F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,844</w:t>
            </w:r>
          </w:p>
        </w:tc>
      </w:tr>
      <w:tr w:rsidR="00376ACF" w:rsidRPr="0011058A" w14:paraId="47989E9A" w14:textId="77777777" w:rsidTr="00376ACF">
        <w:tblPrEx>
          <w:tblCellMar>
            <w:top w:w="0" w:type="dxa"/>
            <w:bottom w:w="0" w:type="dxa"/>
          </w:tblCellMar>
        </w:tblPrEx>
        <w:trPr>
          <w:gridAfter w:val="1"/>
          <w:wAfter w:w="5217" w:type="dxa"/>
          <w:cantSplit/>
        </w:trPr>
        <w:tc>
          <w:tcPr>
            <w:tcW w:w="56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C2F44B4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6B70F9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Business</w:t>
            </w:r>
            <w:proofErr w:type="spellEnd"/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sophistication</w:t>
            </w:r>
            <w:proofErr w:type="spellEnd"/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 xml:space="preserve"> / </w:t>
            </w:r>
            <w:proofErr w:type="spellStart"/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dynamism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D9FA84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349,232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6C6FC0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74,568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07CB67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,501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13002A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4,683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FA2B9D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376ACF" w:rsidRPr="0011058A" w14:paraId="1FB64C90" w14:textId="77777777" w:rsidTr="00376ACF">
        <w:tblPrEx>
          <w:tblCellMar>
            <w:top w:w="0" w:type="dxa"/>
            <w:bottom w:w="0" w:type="dxa"/>
          </w:tblCellMar>
        </w:tblPrEx>
        <w:trPr>
          <w:gridAfter w:val="1"/>
          <w:wAfter w:w="5217" w:type="dxa"/>
          <w:cantSplit/>
        </w:trPr>
        <w:tc>
          <w:tcPr>
            <w:tcW w:w="56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509421A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F39C1AE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Инновационный потенциал</w:t>
            </w:r>
          </w:p>
        </w:tc>
        <w:tc>
          <w:tcPr>
            <w:tcW w:w="99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5C7E8B5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-2,720</w:t>
            </w:r>
          </w:p>
        </w:tc>
        <w:tc>
          <w:tcPr>
            <w:tcW w:w="12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1373FF2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58,550</w:t>
            </w:r>
          </w:p>
        </w:tc>
        <w:tc>
          <w:tcPr>
            <w:tcW w:w="170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F9CF8BC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-,008</w:t>
            </w:r>
          </w:p>
        </w:tc>
        <w:tc>
          <w:tcPr>
            <w:tcW w:w="7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3FF2B9F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-,046</w:t>
            </w:r>
          </w:p>
        </w:tc>
        <w:tc>
          <w:tcPr>
            <w:tcW w:w="11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F395F1B" w14:textId="77777777" w:rsidR="00376ACF" w:rsidRPr="0011058A" w:rsidRDefault="00376ACF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,963</w:t>
            </w:r>
          </w:p>
        </w:tc>
      </w:tr>
      <w:tr w:rsidR="0011058A" w:rsidRPr="0011058A" w14:paraId="424BD5AB" w14:textId="77777777" w:rsidTr="00376A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0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40475" w14:textId="77777777" w:rsidR="0011058A" w:rsidRPr="0011058A" w:rsidRDefault="0011058A" w:rsidP="00376ACF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058A">
              <w:rPr>
                <w:rFonts w:ascii="Arial" w:hAnsi="Arial" w:cs="Arial"/>
                <w:color w:val="000000"/>
                <w:sz w:val="18"/>
                <w:szCs w:val="18"/>
              </w:rPr>
              <w:t>a. Зависимая переменная: Суммарный объём венчурных инвестиций, млн долл.</w:t>
            </w:r>
          </w:p>
        </w:tc>
      </w:tr>
    </w:tbl>
    <w:p w14:paraId="4782993E" w14:textId="50ABCA28" w:rsidR="0011058A" w:rsidRDefault="0011058A" w:rsidP="0011058A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</w:p>
    <w:p w14:paraId="1F85E667" w14:textId="24696731" w:rsidR="00FD5DCC" w:rsidRDefault="00FD5DCC" w:rsidP="006514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Стоит обратить внимание на то, что многие предельные эффекты отрицательны (получается, что лучшее развитие фактора </w:t>
      </w:r>
      <w:r>
        <w:rPr>
          <w:rFonts w:ascii="Times New Roman" w:hAnsi="Times New Roman" w:cs="Times New Roman"/>
          <w:sz w:val="28"/>
        </w:rPr>
        <w:lastRenderedPageBreak/>
        <w:t xml:space="preserve">конкурентоспособности </w:t>
      </w:r>
      <w:r w:rsidR="00BC0CA6">
        <w:rPr>
          <w:rFonts w:ascii="Times New Roman" w:hAnsi="Times New Roman" w:cs="Times New Roman"/>
          <w:sz w:val="28"/>
        </w:rPr>
        <w:t>негативно влияет на объём привлеченных венчурных инвестиций</w:t>
      </w:r>
      <w:r>
        <w:rPr>
          <w:rFonts w:ascii="Times New Roman" w:hAnsi="Times New Roman" w:cs="Times New Roman"/>
          <w:sz w:val="28"/>
        </w:rPr>
        <w:t xml:space="preserve">). Это вызвано близостью в развитии стран Северной Европы: страна, в которой наблюдается </w:t>
      </w:r>
      <w:r w:rsidR="003706C0">
        <w:rPr>
          <w:rFonts w:ascii="Times New Roman" w:hAnsi="Times New Roman" w:cs="Times New Roman"/>
          <w:sz w:val="28"/>
        </w:rPr>
        <w:t>более высокая венчурная активность, может заметно уступать своим соседям по отдельно взятым факторам конкурентоспособности.</w:t>
      </w:r>
    </w:p>
    <w:p w14:paraId="7AA88901" w14:textId="41467CC8" w:rsidR="003B41A2" w:rsidRDefault="003B41A2" w:rsidP="003B41A2">
      <w:pPr>
        <w:spacing w:after="0" w:line="276" w:lineRule="auto"/>
        <w:ind w:firstLine="708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776B8C">
        <w:rPr>
          <w:rFonts w:ascii="Times New Roman" w:hAnsi="Times New Roman" w:cs="Times New Roman"/>
          <w:sz w:val="28"/>
        </w:rPr>
        <w:t>14</w:t>
      </w:r>
      <w:r>
        <w:rPr>
          <w:rFonts w:ascii="Times New Roman" w:hAnsi="Times New Roman" w:cs="Times New Roman"/>
          <w:sz w:val="28"/>
        </w:rPr>
        <w:t>.</w:t>
      </w:r>
    </w:p>
    <w:p w14:paraId="28C5266A" w14:textId="77777777" w:rsidR="004038E7" w:rsidRPr="004038E7" w:rsidRDefault="004038E7" w:rsidP="004038E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774" w:type="dxa"/>
        <w:tblInd w:w="-8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134"/>
        <w:gridCol w:w="1276"/>
        <w:gridCol w:w="1275"/>
        <w:gridCol w:w="1134"/>
        <w:gridCol w:w="1276"/>
        <w:gridCol w:w="851"/>
        <w:gridCol w:w="708"/>
        <w:gridCol w:w="993"/>
        <w:gridCol w:w="709"/>
      </w:tblGrid>
      <w:tr w:rsidR="004038E7" w:rsidRPr="004038E7" w14:paraId="1EF5906A" w14:textId="77777777" w:rsidTr="007C523B">
        <w:trPr>
          <w:cantSplit/>
        </w:trPr>
        <w:tc>
          <w:tcPr>
            <w:tcW w:w="1077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5F7418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38E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Сводка для </w:t>
            </w:r>
            <w:proofErr w:type="spellStart"/>
            <w:r w:rsidRPr="004038E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модели</w:t>
            </w:r>
            <w:r w:rsidRPr="004038E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</w:tr>
      <w:tr w:rsidR="004038E7" w:rsidRPr="004038E7" w14:paraId="787C8115" w14:textId="77777777" w:rsidTr="007C523B">
        <w:trPr>
          <w:cantSplit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4DB2083A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Модель</w:t>
            </w:r>
          </w:p>
        </w:tc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41F26B1E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C0433C5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R-квадрат</w:t>
            </w:r>
          </w:p>
        </w:tc>
        <w:tc>
          <w:tcPr>
            <w:tcW w:w="127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842C630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Скорректированный R-квадрат</w:t>
            </w:r>
          </w:p>
        </w:tc>
        <w:tc>
          <w:tcPr>
            <w:tcW w:w="1275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4B9ED10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Стандартная ошибка оценки</w:t>
            </w:r>
          </w:p>
        </w:tc>
        <w:tc>
          <w:tcPr>
            <w:tcW w:w="4962" w:type="dxa"/>
            <w:gridSpan w:val="5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BC85F8B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Статистика изменений</w:t>
            </w:r>
          </w:p>
        </w:tc>
        <w:tc>
          <w:tcPr>
            <w:tcW w:w="70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1064471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Дарбин</w:t>
            </w:r>
            <w:proofErr w:type="spellEnd"/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-Уотсон</w:t>
            </w:r>
          </w:p>
        </w:tc>
      </w:tr>
      <w:tr w:rsidR="004038E7" w:rsidRPr="004038E7" w14:paraId="5892C464" w14:textId="77777777" w:rsidTr="007C523B">
        <w:trPr>
          <w:cantSplit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5B710142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194A19EB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AD11726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271F148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7842473F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21B431E7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Изменение R квадрат</w:t>
            </w:r>
          </w:p>
        </w:tc>
        <w:tc>
          <w:tcPr>
            <w:tcW w:w="127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8EB21B1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Изменение F</w:t>
            </w:r>
          </w:p>
        </w:tc>
        <w:tc>
          <w:tcPr>
            <w:tcW w:w="85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0F7854AD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ст.св.1</w:t>
            </w:r>
          </w:p>
        </w:tc>
        <w:tc>
          <w:tcPr>
            <w:tcW w:w="70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6552E5E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ст.св.2</w:t>
            </w:r>
          </w:p>
        </w:tc>
        <w:tc>
          <w:tcPr>
            <w:tcW w:w="993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CE0847E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Знач. Изменение F</w:t>
            </w:r>
          </w:p>
        </w:tc>
        <w:tc>
          <w:tcPr>
            <w:tcW w:w="70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C47C664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038E7" w:rsidRPr="004038E7" w14:paraId="0BFBA65A" w14:textId="77777777" w:rsidTr="007C523B">
        <w:trPr>
          <w:cantSplit/>
        </w:trPr>
        <w:tc>
          <w:tcPr>
            <w:tcW w:w="7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18516E8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9CC8F4F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,945</w:t>
            </w:r>
            <w:r w:rsidRPr="004038E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7A2990C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,894</w:t>
            </w:r>
          </w:p>
        </w:tc>
        <w:tc>
          <w:tcPr>
            <w:tcW w:w="12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3D648E9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,861</w:t>
            </w:r>
          </w:p>
        </w:tc>
        <w:tc>
          <w:tcPr>
            <w:tcW w:w="12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EB7EDAF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45,324567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12620A7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,894</w:t>
            </w:r>
          </w:p>
        </w:tc>
        <w:tc>
          <w:tcPr>
            <w:tcW w:w="12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EBF647C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27,513</w:t>
            </w:r>
          </w:p>
        </w:tc>
        <w:tc>
          <w:tcPr>
            <w:tcW w:w="85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F7EBD45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C2FB9D6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DF9224E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9A5E2D4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1,649</w:t>
            </w:r>
          </w:p>
        </w:tc>
      </w:tr>
      <w:tr w:rsidR="004038E7" w:rsidRPr="004038E7" w14:paraId="626734D4" w14:textId="77777777" w:rsidTr="007C523B">
        <w:trPr>
          <w:cantSplit/>
        </w:trPr>
        <w:tc>
          <w:tcPr>
            <w:tcW w:w="1077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97B2C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a. Предикторы: (константа), Инновационный потенциал, Уровень технологического развития (</w:t>
            </w:r>
            <w:proofErr w:type="spellStart"/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Technological</w:t>
            </w:r>
            <w:proofErr w:type="spellEnd"/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Readiness</w:t>
            </w:r>
            <w:proofErr w:type="spellEnd"/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 xml:space="preserve">), Макроэкономическая стабильность, Эффективность рынка труда, Качество институтов, Здравоохранение и начальное образование, </w:t>
            </w:r>
            <w:proofErr w:type="spellStart"/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Business</w:t>
            </w:r>
            <w:proofErr w:type="spellEnd"/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sophistication</w:t>
            </w:r>
            <w:proofErr w:type="spellEnd"/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 xml:space="preserve"> / </w:t>
            </w:r>
            <w:proofErr w:type="spellStart"/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dynamism</w:t>
            </w:r>
            <w:proofErr w:type="spellEnd"/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 xml:space="preserve">, Развитость финансового рынка, Эффективность рынка товаров и услуг, Высшее образование и </w:t>
            </w:r>
            <w:proofErr w:type="spellStart"/>
            <w:proofErr w:type="gramStart"/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проф.подготовка</w:t>
            </w:r>
            <w:proofErr w:type="spellEnd"/>
            <w:proofErr w:type="gramEnd"/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, Инфраструктура</w:t>
            </w:r>
          </w:p>
        </w:tc>
      </w:tr>
      <w:tr w:rsidR="004038E7" w:rsidRPr="004038E7" w14:paraId="5BE68A59" w14:textId="77777777" w:rsidTr="007C523B">
        <w:trPr>
          <w:cantSplit/>
        </w:trPr>
        <w:tc>
          <w:tcPr>
            <w:tcW w:w="1077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28DCC" w14:textId="77777777" w:rsidR="004038E7" w:rsidRPr="004038E7" w:rsidRDefault="004038E7" w:rsidP="004038E7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038E7">
              <w:rPr>
                <w:rFonts w:ascii="Arial" w:hAnsi="Arial" w:cs="Arial"/>
                <w:color w:val="000000"/>
                <w:sz w:val="18"/>
                <w:szCs w:val="18"/>
              </w:rPr>
              <w:t>b. Зависимая переменная: Суммарный объём венчурных инвестиций, млн долл.</w:t>
            </w:r>
          </w:p>
        </w:tc>
      </w:tr>
    </w:tbl>
    <w:p w14:paraId="000A6B04" w14:textId="3784450C" w:rsidR="006D1093" w:rsidRDefault="006D1093" w:rsidP="003B41A2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</w:p>
    <w:p w14:paraId="6859A690" w14:textId="77777777" w:rsidR="004038E7" w:rsidRDefault="004038E7" w:rsidP="006514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5DE865BE" w14:textId="221F66EC" w:rsidR="006D1093" w:rsidRPr="006D1093" w:rsidRDefault="007350A6" w:rsidP="006D1093">
      <w:pPr>
        <w:suppressAutoHyphens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Таблица </w:t>
      </w:r>
      <w:r w:rsidR="00E1629E">
        <w:rPr>
          <w:rFonts w:ascii="Times New Roman" w:hAnsi="Times New Roman" w:cs="Times New Roman"/>
          <w:sz w:val="28"/>
          <w:szCs w:val="24"/>
        </w:rPr>
        <w:t>1</w:t>
      </w:r>
      <w:r w:rsidR="00776B8C">
        <w:rPr>
          <w:rFonts w:ascii="Times New Roman" w:hAnsi="Times New Roman" w:cs="Times New Roman"/>
          <w:sz w:val="28"/>
          <w:szCs w:val="24"/>
        </w:rPr>
        <w:t>5</w:t>
      </w:r>
      <w:r w:rsidR="00E1629E">
        <w:rPr>
          <w:rFonts w:ascii="Times New Roman" w:hAnsi="Times New Roman" w:cs="Times New Roman"/>
          <w:sz w:val="28"/>
          <w:szCs w:val="24"/>
        </w:rPr>
        <w:t>.</w:t>
      </w:r>
    </w:p>
    <w:tbl>
      <w:tblPr>
        <w:tblW w:w="8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199"/>
        <w:gridCol w:w="1476"/>
        <w:gridCol w:w="1030"/>
        <w:gridCol w:w="1476"/>
        <w:gridCol w:w="1030"/>
        <w:gridCol w:w="1338"/>
      </w:tblGrid>
      <w:tr w:rsidR="006D1093" w:rsidRPr="006D1093" w14:paraId="44EC20E1" w14:textId="77777777">
        <w:trPr>
          <w:cantSplit/>
        </w:trPr>
        <w:tc>
          <w:tcPr>
            <w:tcW w:w="82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940763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D109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6D109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6D1093" w:rsidRPr="006D1093" w14:paraId="5946DAE9" w14:textId="77777777">
        <w:trPr>
          <w:cantSplit/>
        </w:trPr>
        <w:tc>
          <w:tcPr>
            <w:tcW w:w="193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31B62F41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Модель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53FB073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Сумма квадратов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760EB77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ст.св</w:t>
            </w:r>
            <w:proofErr w:type="spellEnd"/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C361D35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Средний квадрат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30B4017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33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1A670EC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Значимость</w:t>
            </w:r>
          </w:p>
        </w:tc>
      </w:tr>
      <w:tr w:rsidR="006D1093" w:rsidRPr="006D1093" w14:paraId="20CDBC0B" w14:textId="77777777"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E48F9EF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0A8FEC6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Регрессия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42A735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621723,740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E15555A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37820E9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56520,340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2933B80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27,513</w:t>
            </w:r>
          </w:p>
        </w:tc>
        <w:tc>
          <w:tcPr>
            <w:tcW w:w="133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5E6176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  <w:r w:rsidRPr="006D109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6D1093" w:rsidRPr="006D1093" w14:paraId="1502DEB5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FB3B31D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EB0D17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Остаток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6215FC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73955,390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F203F1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8E1283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2054,316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68FCE2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BA6D61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093" w:rsidRPr="006D1093" w14:paraId="6A504C40" w14:textId="7777777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A268FA3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4611770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Всего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BCCF882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695679,130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1665E61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F3F9033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48BA9A8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CF83D31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093" w:rsidRPr="006D1093" w14:paraId="416360A2" w14:textId="77777777">
        <w:trPr>
          <w:cantSplit/>
        </w:trPr>
        <w:tc>
          <w:tcPr>
            <w:tcW w:w="82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A3015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a. Зависимая переменная: Суммарный объём венчурных инвестиций, млн долл.</w:t>
            </w:r>
          </w:p>
        </w:tc>
      </w:tr>
      <w:tr w:rsidR="006D1093" w:rsidRPr="006D1093" w14:paraId="4E44C3BE" w14:textId="77777777">
        <w:trPr>
          <w:cantSplit/>
        </w:trPr>
        <w:tc>
          <w:tcPr>
            <w:tcW w:w="82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EF9E0" w14:textId="77777777" w:rsidR="006D1093" w:rsidRPr="006D1093" w:rsidRDefault="006D1093" w:rsidP="006D1093">
            <w:pPr>
              <w:suppressAutoHyphens w:val="0"/>
              <w:autoSpaceDE w:val="0"/>
              <w:autoSpaceDN w:val="0"/>
              <w:adjustRightInd w:val="0"/>
              <w:spacing w:after="0" w:line="276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b. Предикторы: (константа), Инновационный потенциал, Уровень технологического развития (</w:t>
            </w:r>
            <w:proofErr w:type="spellStart"/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Technological</w:t>
            </w:r>
            <w:proofErr w:type="spellEnd"/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Readiness</w:t>
            </w:r>
            <w:proofErr w:type="spellEnd"/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 xml:space="preserve">), Макроэкономическая стабильность, Эффективность рынка труда, Качество институтов, Здравоохранение и начальное образование, </w:t>
            </w:r>
            <w:proofErr w:type="spellStart"/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Business</w:t>
            </w:r>
            <w:proofErr w:type="spellEnd"/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sophistication</w:t>
            </w:r>
            <w:proofErr w:type="spellEnd"/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 xml:space="preserve"> / </w:t>
            </w:r>
            <w:proofErr w:type="spellStart"/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dynamism</w:t>
            </w:r>
            <w:proofErr w:type="spellEnd"/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 xml:space="preserve">, Развитость финансового рынка, Эффективность рынка товаров и услуг, Высшее образование и </w:t>
            </w:r>
            <w:proofErr w:type="spellStart"/>
            <w:proofErr w:type="gramStart"/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проф.подготовка</w:t>
            </w:r>
            <w:proofErr w:type="spellEnd"/>
            <w:proofErr w:type="gramEnd"/>
            <w:r w:rsidRPr="006D1093">
              <w:rPr>
                <w:rFonts w:ascii="Arial" w:hAnsi="Arial" w:cs="Arial"/>
                <w:color w:val="000000"/>
                <w:sz w:val="18"/>
                <w:szCs w:val="18"/>
              </w:rPr>
              <w:t>, Инфраструктура</w:t>
            </w:r>
          </w:p>
        </w:tc>
      </w:tr>
    </w:tbl>
    <w:p w14:paraId="64BE8B1B" w14:textId="637E780D" w:rsidR="00BE7BAD" w:rsidRPr="00E25BB1" w:rsidRDefault="00E25BB1" w:rsidP="006514C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Отметим, что в целом получилось качественное уравнение</w:t>
      </w:r>
      <w:r w:rsidR="003B41A2">
        <w:rPr>
          <w:rFonts w:ascii="Times New Roman" w:hAnsi="Times New Roman" w:cs="Times New Roman"/>
          <w:sz w:val="28"/>
        </w:rPr>
        <w:t xml:space="preserve"> (см. Таблицы 1</w:t>
      </w:r>
      <w:r w:rsidR="00776B8C">
        <w:rPr>
          <w:rFonts w:ascii="Times New Roman" w:hAnsi="Times New Roman" w:cs="Times New Roman"/>
          <w:sz w:val="28"/>
        </w:rPr>
        <w:t>4</w:t>
      </w:r>
      <w:r w:rsidR="003B41A2">
        <w:rPr>
          <w:rFonts w:ascii="Times New Roman" w:hAnsi="Times New Roman" w:cs="Times New Roman"/>
          <w:sz w:val="28"/>
        </w:rPr>
        <w:t>, 1</w:t>
      </w:r>
      <w:r w:rsidR="00776B8C">
        <w:rPr>
          <w:rFonts w:ascii="Times New Roman" w:hAnsi="Times New Roman" w:cs="Times New Roman"/>
          <w:sz w:val="28"/>
        </w:rPr>
        <w:t>5</w:t>
      </w:r>
      <w:r w:rsidR="003B41A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скорректированный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E25BB1">
        <w:rPr>
          <w:rFonts w:ascii="Times New Roman" w:hAnsi="Times New Roman" w:cs="Times New Roman"/>
          <w:sz w:val="28"/>
          <w:vertAlign w:val="superscript"/>
        </w:rPr>
        <w:t>2</w:t>
      </w:r>
      <w:r w:rsidRPr="00E25BB1">
        <w:rPr>
          <w:rFonts w:ascii="Times New Roman" w:hAnsi="Times New Roman" w:cs="Times New Roman"/>
          <w:sz w:val="28"/>
        </w:rPr>
        <w:t>=0</w:t>
      </w:r>
      <w:r w:rsidR="00DD311A">
        <w:rPr>
          <w:rFonts w:ascii="Times New Roman" w:hAnsi="Times New Roman" w:cs="Times New Roman"/>
          <w:sz w:val="28"/>
        </w:rPr>
        <w:t>,861</w:t>
      </w:r>
      <w:r w:rsidR="00B84490">
        <w:rPr>
          <w:rFonts w:ascii="Times New Roman" w:hAnsi="Times New Roman" w:cs="Times New Roman"/>
          <w:sz w:val="28"/>
        </w:rPr>
        <w:t xml:space="preserve">, что означает, что 11 факторов конкурентоспособности, использованные в уравнении в качестве независимых факторов, объясняют отклонение величины объёма </w:t>
      </w:r>
      <w:r w:rsidR="004E77BB">
        <w:rPr>
          <w:rFonts w:ascii="Times New Roman" w:hAnsi="Times New Roman" w:cs="Times New Roman"/>
          <w:sz w:val="28"/>
        </w:rPr>
        <w:t>венчурных инвестиций на 86%. В целом, уравнение значимо на уровне 1% (</w:t>
      </w:r>
      <w:r w:rsidR="004E77BB">
        <w:rPr>
          <w:rFonts w:ascii="Times New Roman" w:hAnsi="Times New Roman" w:cs="Times New Roman"/>
          <w:sz w:val="28"/>
          <w:lang w:val="en-US"/>
        </w:rPr>
        <w:t>F</w:t>
      </w:r>
      <w:r w:rsidR="004E77BB" w:rsidRPr="00BE7BAD">
        <w:rPr>
          <w:rFonts w:ascii="Times New Roman" w:hAnsi="Times New Roman" w:cs="Times New Roman"/>
          <w:sz w:val="28"/>
        </w:rPr>
        <w:t>-</w:t>
      </w:r>
      <w:r w:rsidR="004E77BB">
        <w:rPr>
          <w:rFonts w:ascii="Times New Roman" w:hAnsi="Times New Roman" w:cs="Times New Roman"/>
          <w:sz w:val="28"/>
        </w:rPr>
        <w:t>статистика</w:t>
      </w:r>
      <w:r w:rsidR="00E1629E">
        <w:rPr>
          <w:rFonts w:ascii="Times New Roman" w:hAnsi="Times New Roman" w:cs="Times New Roman"/>
          <w:sz w:val="28"/>
        </w:rPr>
        <w:t>, таблица 1</w:t>
      </w:r>
      <w:r w:rsidR="00776B8C">
        <w:rPr>
          <w:rFonts w:ascii="Times New Roman" w:hAnsi="Times New Roman" w:cs="Times New Roman"/>
          <w:sz w:val="28"/>
        </w:rPr>
        <w:t>5</w:t>
      </w:r>
      <w:r w:rsidR="004E77BB">
        <w:rPr>
          <w:rFonts w:ascii="Times New Roman" w:hAnsi="Times New Roman" w:cs="Times New Roman"/>
          <w:sz w:val="28"/>
        </w:rPr>
        <w:t xml:space="preserve">). </w:t>
      </w:r>
      <w:r w:rsidR="00BE7BAD">
        <w:rPr>
          <w:rFonts w:ascii="Times New Roman" w:hAnsi="Times New Roman" w:cs="Times New Roman"/>
          <w:sz w:val="28"/>
        </w:rPr>
        <w:t xml:space="preserve">Статистика </w:t>
      </w:r>
      <w:proofErr w:type="spellStart"/>
      <w:r w:rsidR="00BE7BAD">
        <w:rPr>
          <w:rFonts w:ascii="Times New Roman" w:hAnsi="Times New Roman" w:cs="Times New Roman"/>
          <w:sz w:val="28"/>
        </w:rPr>
        <w:t>Дарбина</w:t>
      </w:r>
      <w:proofErr w:type="spellEnd"/>
      <w:r w:rsidR="00BE7BAD">
        <w:rPr>
          <w:rFonts w:ascii="Times New Roman" w:hAnsi="Times New Roman" w:cs="Times New Roman"/>
          <w:sz w:val="28"/>
        </w:rPr>
        <w:t>-Уотсона равна 1,649</w:t>
      </w:r>
      <w:r w:rsidR="00875525">
        <w:rPr>
          <w:rFonts w:ascii="Times New Roman" w:hAnsi="Times New Roman" w:cs="Times New Roman"/>
          <w:sz w:val="28"/>
        </w:rPr>
        <w:t xml:space="preserve"> (близка к 2)</w:t>
      </w:r>
      <w:r w:rsidR="00BE7BAD">
        <w:rPr>
          <w:rFonts w:ascii="Times New Roman" w:hAnsi="Times New Roman" w:cs="Times New Roman"/>
          <w:sz w:val="28"/>
        </w:rPr>
        <w:t>, что соответствует низкому уровню автокорреляции.</w:t>
      </w:r>
      <w:r w:rsidR="008667ED">
        <w:rPr>
          <w:rFonts w:ascii="Times New Roman" w:hAnsi="Times New Roman" w:cs="Times New Roman"/>
          <w:sz w:val="28"/>
        </w:rPr>
        <w:t xml:space="preserve"> </w:t>
      </w:r>
      <w:r w:rsidR="00663E5A">
        <w:rPr>
          <w:rFonts w:ascii="Times New Roman" w:hAnsi="Times New Roman" w:cs="Times New Roman"/>
          <w:sz w:val="28"/>
        </w:rPr>
        <w:t>Однако н</w:t>
      </w:r>
      <w:r w:rsidR="008667ED">
        <w:rPr>
          <w:rFonts w:ascii="Times New Roman" w:hAnsi="Times New Roman" w:cs="Times New Roman"/>
          <w:sz w:val="28"/>
        </w:rPr>
        <w:t>аличие высокой корреляции между некоторыми факторами (например, здравоохранением/начальным образованием и высшим образованием</w:t>
      </w:r>
      <w:r w:rsidR="008667ED" w:rsidRPr="008667ED">
        <w:rPr>
          <w:rFonts w:ascii="Times New Roman" w:hAnsi="Times New Roman" w:cs="Times New Roman"/>
          <w:sz w:val="28"/>
        </w:rPr>
        <w:t>/</w:t>
      </w:r>
      <w:proofErr w:type="spellStart"/>
      <w:proofErr w:type="gramStart"/>
      <w:r w:rsidR="008667ED">
        <w:rPr>
          <w:rFonts w:ascii="Times New Roman" w:hAnsi="Times New Roman" w:cs="Times New Roman"/>
          <w:sz w:val="28"/>
        </w:rPr>
        <w:t>проф.подготовкой</w:t>
      </w:r>
      <w:proofErr w:type="spellEnd"/>
      <w:proofErr w:type="gramEnd"/>
      <w:r w:rsidR="008667ED">
        <w:rPr>
          <w:rFonts w:ascii="Times New Roman" w:hAnsi="Times New Roman" w:cs="Times New Roman"/>
          <w:sz w:val="28"/>
        </w:rPr>
        <w:t xml:space="preserve">) указывает на риск </w:t>
      </w:r>
      <w:proofErr w:type="spellStart"/>
      <w:r w:rsidR="008667ED">
        <w:rPr>
          <w:rFonts w:ascii="Times New Roman" w:hAnsi="Times New Roman" w:cs="Times New Roman"/>
          <w:sz w:val="28"/>
        </w:rPr>
        <w:t>мультиколлинеарности</w:t>
      </w:r>
      <w:proofErr w:type="spellEnd"/>
      <w:r w:rsidR="008667ED">
        <w:rPr>
          <w:rFonts w:ascii="Times New Roman" w:hAnsi="Times New Roman" w:cs="Times New Roman"/>
          <w:sz w:val="28"/>
        </w:rPr>
        <w:t>.</w:t>
      </w:r>
      <w:r w:rsidR="00174797">
        <w:rPr>
          <w:rFonts w:ascii="Times New Roman" w:hAnsi="Times New Roman" w:cs="Times New Roman"/>
          <w:sz w:val="28"/>
        </w:rPr>
        <w:t xml:space="preserve"> </w:t>
      </w:r>
    </w:p>
    <w:p w14:paraId="1E21261F" w14:textId="672C686D" w:rsidR="00FD2521" w:rsidRDefault="00ED0225" w:rsidP="00D34211">
      <w:pPr>
        <w:pStyle w:val="1"/>
      </w:pPr>
      <w:r w:rsidRPr="00C80E12">
        <w:br w:type="page"/>
      </w:r>
      <w:bookmarkStart w:id="9" w:name="_Toc89784922"/>
      <w:r w:rsidR="00CF354A">
        <w:lastRenderedPageBreak/>
        <w:t>4</w:t>
      </w:r>
      <w:r w:rsidR="003F4CA0" w:rsidRPr="00883DC1">
        <w:t xml:space="preserve">. </w:t>
      </w:r>
      <w:r w:rsidR="00FD2521">
        <w:t>Заключение</w:t>
      </w:r>
      <w:bookmarkEnd w:id="9"/>
    </w:p>
    <w:p w14:paraId="11AEA17F" w14:textId="7376492B" w:rsidR="00F71159" w:rsidRDefault="00F71159" w:rsidP="001D415B">
      <w:pPr>
        <w:spacing w:after="0" w:line="276" w:lineRule="auto"/>
      </w:pPr>
    </w:p>
    <w:p w14:paraId="1BE1F421" w14:textId="74436A07" w:rsidR="00F71159" w:rsidRDefault="003C7A4F" w:rsidP="001D415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93133">
        <w:rPr>
          <w:rFonts w:ascii="Times New Roman" w:hAnsi="Times New Roman" w:cs="Times New Roman"/>
          <w:sz w:val="28"/>
          <w:szCs w:val="28"/>
        </w:rPr>
        <w:t xml:space="preserve">В данном исследовании были применены следующие методы исследования по отношению к </w:t>
      </w:r>
      <w:proofErr w:type="spellStart"/>
      <w:r w:rsidR="00993133">
        <w:rPr>
          <w:rFonts w:ascii="Times New Roman" w:hAnsi="Times New Roman" w:cs="Times New Roman"/>
          <w:sz w:val="28"/>
          <w:szCs w:val="28"/>
        </w:rPr>
        <w:t>макроданным</w:t>
      </w:r>
      <w:proofErr w:type="spellEnd"/>
      <w:r w:rsidR="00993133">
        <w:rPr>
          <w:rFonts w:ascii="Times New Roman" w:hAnsi="Times New Roman" w:cs="Times New Roman"/>
          <w:sz w:val="28"/>
          <w:szCs w:val="28"/>
        </w:rPr>
        <w:t>, связанным с венчурными инвестициями в Северной Европе:</w:t>
      </w:r>
    </w:p>
    <w:p w14:paraId="59478BE6" w14:textId="2341B37E" w:rsidR="00993133" w:rsidRDefault="00993133" w:rsidP="001D415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30D96">
        <w:rPr>
          <w:rFonts w:ascii="Times New Roman" w:hAnsi="Times New Roman" w:cs="Times New Roman"/>
          <w:sz w:val="28"/>
          <w:szCs w:val="28"/>
        </w:rPr>
        <w:t xml:space="preserve"> частотный анализ, разведочный анализ, анализ средних значений, медиан и среднеквадратических отклонений,</w:t>
      </w:r>
    </w:p>
    <w:p w14:paraId="5DB448C0" w14:textId="0465A1DD" w:rsidR="00993133" w:rsidRDefault="00993133" w:rsidP="001D415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30D96">
        <w:rPr>
          <w:rFonts w:ascii="Times New Roman" w:hAnsi="Times New Roman" w:cs="Times New Roman"/>
          <w:sz w:val="28"/>
          <w:szCs w:val="28"/>
        </w:rPr>
        <w:t xml:space="preserve"> </w:t>
      </w:r>
      <w:r w:rsidR="000F08A1">
        <w:rPr>
          <w:rFonts w:ascii="Times New Roman" w:hAnsi="Times New Roman" w:cs="Times New Roman"/>
          <w:sz w:val="28"/>
          <w:szCs w:val="28"/>
        </w:rPr>
        <w:t>таблицы сопряжённости и непараметрические критерии,</w:t>
      </w:r>
    </w:p>
    <w:p w14:paraId="516FAD0A" w14:textId="04F35621" w:rsidR="00993133" w:rsidRDefault="00993133" w:rsidP="001D415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F08A1">
        <w:rPr>
          <w:rFonts w:ascii="Times New Roman" w:hAnsi="Times New Roman" w:cs="Times New Roman"/>
          <w:sz w:val="28"/>
          <w:szCs w:val="28"/>
        </w:rPr>
        <w:t xml:space="preserve"> </w:t>
      </w:r>
      <w:r w:rsidR="001946D9">
        <w:rPr>
          <w:rFonts w:ascii="Times New Roman" w:hAnsi="Times New Roman" w:cs="Times New Roman"/>
          <w:sz w:val="28"/>
          <w:szCs w:val="28"/>
        </w:rPr>
        <w:t>парные корреляции (корреляционные матрицы),</w:t>
      </w:r>
    </w:p>
    <w:p w14:paraId="3F02BBD0" w14:textId="18B677AF" w:rsidR="00993133" w:rsidRDefault="00993133" w:rsidP="001D415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05282">
        <w:rPr>
          <w:rFonts w:ascii="Times New Roman" w:hAnsi="Times New Roman" w:cs="Times New Roman"/>
          <w:sz w:val="28"/>
          <w:szCs w:val="28"/>
        </w:rPr>
        <w:t xml:space="preserve"> иерархическая кластеризация</w:t>
      </w:r>
      <w:r w:rsidR="002B718D">
        <w:rPr>
          <w:rFonts w:ascii="Times New Roman" w:hAnsi="Times New Roman" w:cs="Times New Roman"/>
          <w:sz w:val="28"/>
          <w:szCs w:val="28"/>
        </w:rPr>
        <w:t>,</w:t>
      </w:r>
    </w:p>
    <w:p w14:paraId="2B1A44C0" w14:textId="5011D5EB" w:rsidR="002B718D" w:rsidRDefault="002B718D" w:rsidP="001D415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регрессионный анализ.</w:t>
      </w:r>
    </w:p>
    <w:p w14:paraId="54AB8DBF" w14:textId="746FDE3E" w:rsidR="00105282" w:rsidRPr="00A877CF" w:rsidRDefault="00114455" w:rsidP="001D415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результате применённых методов были выявлены следующие закономерности:</w:t>
      </w:r>
    </w:p>
    <w:p w14:paraId="02ADE318" w14:textId="0A276CF9" w:rsidR="00114455" w:rsidRDefault="00114455" w:rsidP="001D415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B0537C" w:rsidRPr="00B0537C">
        <w:rPr>
          <w:rFonts w:ascii="Times New Roman" w:hAnsi="Times New Roman" w:cs="Times New Roman"/>
          <w:sz w:val="28"/>
        </w:rPr>
        <w:t xml:space="preserve"> </w:t>
      </w:r>
      <w:r w:rsidR="0094754E">
        <w:rPr>
          <w:rFonts w:ascii="Times New Roman" w:hAnsi="Times New Roman" w:cs="Times New Roman"/>
          <w:sz w:val="28"/>
        </w:rPr>
        <w:t>Н</w:t>
      </w:r>
      <w:r w:rsidR="00B0537C">
        <w:rPr>
          <w:rFonts w:ascii="Times New Roman" w:hAnsi="Times New Roman" w:cs="Times New Roman"/>
          <w:sz w:val="28"/>
        </w:rPr>
        <w:t xml:space="preserve">аиболее оживлённая и при этом стабильно высокая венчурная активность на рынке компаний-стартапов в 10-е наблюдалась в Швеции (ежегодно вкладывалось более 100 млн </w:t>
      </w:r>
      <w:proofErr w:type="spellStart"/>
      <w:r w:rsidR="00B0537C">
        <w:rPr>
          <w:rFonts w:ascii="Times New Roman" w:hAnsi="Times New Roman" w:cs="Times New Roman"/>
          <w:sz w:val="28"/>
        </w:rPr>
        <w:t>долл</w:t>
      </w:r>
      <w:proofErr w:type="spellEnd"/>
      <w:r w:rsidR="00B0537C">
        <w:rPr>
          <w:rFonts w:ascii="Times New Roman" w:hAnsi="Times New Roman" w:cs="Times New Roman"/>
          <w:sz w:val="28"/>
        </w:rPr>
        <w:t xml:space="preserve">), в остальных странах она имеет более умеренный характер (50 млн </w:t>
      </w:r>
      <w:proofErr w:type="spellStart"/>
      <w:r w:rsidR="00B0537C">
        <w:rPr>
          <w:rFonts w:ascii="Times New Roman" w:hAnsi="Times New Roman" w:cs="Times New Roman"/>
          <w:sz w:val="28"/>
        </w:rPr>
        <w:t>долл</w:t>
      </w:r>
      <w:proofErr w:type="spellEnd"/>
      <w:r w:rsidR="00B0537C">
        <w:rPr>
          <w:rFonts w:ascii="Times New Roman" w:hAnsi="Times New Roman" w:cs="Times New Roman"/>
          <w:sz w:val="28"/>
        </w:rPr>
        <w:t>), при этом чуть более стабильны позиции Финляндии.</w:t>
      </w:r>
    </w:p>
    <w:p w14:paraId="00D657E5" w14:textId="1A57B5A7" w:rsidR="00114455" w:rsidRDefault="00114455" w:rsidP="001D415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2357D3">
        <w:rPr>
          <w:rFonts w:ascii="Times New Roman" w:hAnsi="Times New Roman" w:cs="Times New Roman"/>
          <w:sz w:val="28"/>
          <w:szCs w:val="28"/>
        </w:rPr>
        <w:t xml:space="preserve"> </w:t>
      </w:r>
      <w:r w:rsidR="00DA23B0">
        <w:rPr>
          <w:rFonts w:ascii="Times New Roman" w:hAnsi="Times New Roman" w:cs="Times New Roman"/>
          <w:sz w:val="28"/>
        </w:rPr>
        <w:t xml:space="preserve">Швеция имеет существенно более высокие среднее (и медианные) показатели венчурного инвестирования в целом в 10-х. Наименее «стабильными» являются инвестиции в датские венчурные проекты. </w:t>
      </w:r>
      <w:r w:rsidR="00005ADC">
        <w:rPr>
          <w:rFonts w:ascii="Times New Roman" w:hAnsi="Times New Roman" w:cs="Times New Roman"/>
          <w:sz w:val="28"/>
        </w:rPr>
        <w:t>Без учёта</w:t>
      </w:r>
      <w:r w:rsidR="00DA23B0">
        <w:rPr>
          <w:rFonts w:ascii="Times New Roman" w:hAnsi="Times New Roman" w:cs="Times New Roman"/>
          <w:sz w:val="28"/>
        </w:rPr>
        <w:t xml:space="preserve"> Швеции венчурная активность наиболее оживлена в Финляндии.</w:t>
      </w:r>
    </w:p>
    <w:p w14:paraId="0014ABCF" w14:textId="4921991B" w:rsidR="00114455" w:rsidRDefault="00114455" w:rsidP="001D415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1D4220">
        <w:rPr>
          <w:rFonts w:ascii="Times New Roman" w:hAnsi="Times New Roman" w:cs="Times New Roman"/>
          <w:sz w:val="28"/>
          <w:szCs w:val="28"/>
        </w:rPr>
        <w:t xml:space="preserve"> </w:t>
      </w:r>
      <w:r w:rsidR="001D4220">
        <w:rPr>
          <w:rFonts w:ascii="Times New Roman" w:hAnsi="Times New Roman" w:cs="Times New Roman"/>
          <w:sz w:val="28"/>
        </w:rPr>
        <w:t>Динамика инвестиций в стартапы и общего объёма венчурных вложений имеет схожий характер в случае Норвегии, Швеции, отчасти Финляндии. Такой вывод мы однозначно не можем сделать в случае Дании.</w:t>
      </w:r>
    </w:p>
    <w:p w14:paraId="38E0EBCA" w14:textId="5357F23F" w:rsidR="00114455" w:rsidRDefault="00114455" w:rsidP="001D415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1D4220">
        <w:rPr>
          <w:rFonts w:ascii="Times New Roman" w:hAnsi="Times New Roman" w:cs="Times New Roman"/>
          <w:sz w:val="28"/>
          <w:szCs w:val="28"/>
        </w:rPr>
        <w:t xml:space="preserve"> Швеция, Дания и Финляндия вышли на исторические максимумы в контексте венчурного инвестирования в конце 10-х. Динамика рынка последних двух стран схожая.</w:t>
      </w:r>
      <w:r w:rsidR="00A60B7A">
        <w:rPr>
          <w:rFonts w:ascii="Times New Roman" w:hAnsi="Times New Roman" w:cs="Times New Roman"/>
          <w:sz w:val="28"/>
          <w:szCs w:val="28"/>
        </w:rPr>
        <w:t xml:space="preserve"> Швеция имела высокие показатели и до кризиса 2008 г., в 10-х происходило затяжное восстановление инвестиционной активности.</w:t>
      </w:r>
    </w:p>
    <w:p w14:paraId="6B7429EE" w14:textId="3D3075A6" w:rsidR="00C44DB2" w:rsidRDefault="00C44DB2" w:rsidP="001D415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94754E">
        <w:rPr>
          <w:rFonts w:ascii="Times New Roman" w:hAnsi="Times New Roman" w:cs="Times New Roman"/>
          <w:sz w:val="28"/>
          <w:szCs w:val="28"/>
        </w:rPr>
        <w:t xml:space="preserve"> Норвегия </w:t>
      </w:r>
      <w:r w:rsidR="003D0F35">
        <w:rPr>
          <w:rFonts w:ascii="Times New Roman" w:hAnsi="Times New Roman" w:cs="Times New Roman"/>
          <w:sz w:val="28"/>
          <w:szCs w:val="28"/>
        </w:rPr>
        <w:t>имеет самые слабые позиции в регионе. При этом во второй половине 10-х объём венчурных инвестиций по видам проектов и в целом упал (что совпало с нефтяным кризисом и его последствиями).</w:t>
      </w:r>
      <w:r w:rsidR="00172CC0">
        <w:rPr>
          <w:rFonts w:ascii="Times New Roman" w:hAnsi="Times New Roman" w:cs="Times New Roman"/>
          <w:sz w:val="28"/>
          <w:szCs w:val="28"/>
        </w:rPr>
        <w:t xml:space="preserve"> Стоит отметить, что на примере Норвегии замечена взаимосвязь между расходами на НИОКР и величиной инвестиций в проекты на посевной стадии.</w:t>
      </w:r>
    </w:p>
    <w:p w14:paraId="08F05D20" w14:textId="2BF0FC60" w:rsidR="003D0F35" w:rsidRDefault="003D0F35" w:rsidP="001D415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EC5BC7" w:rsidRPr="00EC5BC7">
        <w:rPr>
          <w:rFonts w:ascii="Times New Roman" w:hAnsi="Times New Roman" w:cs="Times New Roman"/>
          <w:sz w:val="28"/>
          <w:szCs w:val="28"/>
        </w:rPr>
        <w:t xml:space="preserve"> </w:t>
      </w:r>
      <w:r w:rsidR="00EC5BC7">
        <w:rPr>
          <w:rFonts w:ascii="Times New Roman" w:hAnsi="Times New Roman" w:cs="Times New Roman"/>
          <w:sz w:val="28"/>
          <w:szCs w:val="28"/>
        </w:rPr>
        <w:t>Динамика объёма венчурных инвестиций не связана с динамикой ВВП и показател</w:t>
      </w:r>
      <w:r w:rsidR="002F3DF6">
        <w:rPr>
          <w:rFonts w:ascii="Times New Roman" w:hAnsi="Times New Roman" w:cs="Times New Roman"/>
          <w:sz w:val="28"/>
          <w:szCs w:val="28"/>
        </w:rPr>
        <w:t>ями</w:t>
      </w:r>
      <w:r w:rsidR="00EC5BC7">
        <w:rPr>
          <w:rFonts w:ascii="Times New Roman" w:hAnsi="Times New Roman" w:cs="Times New Roman"/>
          <w:sz w:val="28"/>
          <w:szCs w:val="28"/>
        </w:rPr>
        <w:t xml:space="preserve"> экономического роста.</w:t>
      </w:r>
    </w:p>
    <w:p w14:paraId="78C03E43" w14:textId="42FFB7E9" w:rsidR="00A525CC" w:rsidRPr="00096FB6" w:rsidRDefault="000D752E" w:rsidP="00096FB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Построенная модель линейной множественной регрессии, которая выражает зависимость общего объёма венчурных инвестиций от 11 оценок факторов конкурентоспособности в стране, оказалась качественной.</w:t>
      </w:r>
    </w:p>
    <w:p w14:paraId="022189BA" w14:textId="77777777" w:rsidR="002A2258" w:rsidRDefault="002A2258" w:rsidP="00584A8B">
      <w:pPr>
        <w:pStyle w:val="1"/>
      </w:pPr>
      <w:bookmarkStart w:id="10" w:name="_Toc89784923"/>
      <w:r>
        <w:t>Список источников</w:t>
      </w:r>
      <w:bookmarkEnd w:id="10"/>
    </w:p>
    <w:p w14:paraId="5BAD61EF" w14:textId="77777777" w:rsidR="00AF2CF2" w:rsidRPr="006A5A9F" w:rsidRDefault="00AF2CF2" w:rsidP="00E36EC1">
      <w:pPr>
        <w:pStyle w:val="a5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5A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Nicolás </w:t>
      </w:r>
      <w:proofErr w:type="spellStart"/>
      <w:r w:rsidRPr="006A5A9F">
        <w:rPr>
          <w:rFonts w:ascii="Times New Roman" w:hAnsi="Times New Roman" w:cs="Times New Roman"/>
          <w:color w:val="000000"/>
          <w:sz w:val="28"/>
          <w:szCs w:val="28"/>
          <w:lang w:val="en-US"/>
        </w:rPr>
        <w:t>Cerdeira</w:t>
      </w:r>
      <w:proofErr w:type="spellEnd"/>
      <w:r w:rsidRPr="006A5A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A5A9F">
        <w:rPr>
          <w:rFonts w:ascii="Times New Roman" w:hAnsi="Times New Roman" w:cs="Times New Roman"/>
          <w:color w:val="000000"/>
          <w:sz w:val="28"/>
          <w:szCs w:val="28"/>
          <w:lang w:val="en-US"/>
        </w:rPr>
        <w:t>Kyril</w:t>
      </w:r>
      <w:proofErr w:type="spellEnd"/>
      <w:r w:rsidRPr="006A5A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A5A9F">
        <w:rPr>
          <w:rFonts w:ascii="Times New Roman" w:hAnsi="Times New Roman" w:cs="Times New Roman"/>
          <w:color w:val="000000"/>
          <w:sz w:val="28"/>
          <w:szCs w:val="28"/>
          <w:lang w:val="en-US"/>
        </w:rPr>
        <w:t>Kotashev</w:t>
      </w:r>
      <w:proofErr w:type="spellEnd"/>
      <w:r w:rsidRPr="006A5A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Startup Failure Rate: Ultimate Report + Infographic [2021]. URL: </w:t>
      </w:r>
      <w:hyperlink r:id="rId25" w:history="1">
        <w:r w:rsidRPr="006A5A9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https://www.failory.com/blog/startup-failure-rate</w:t>
        </w:r>
      </w:hyperlink>
      <w:r w:rsidRPr="006A5A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59304F7" w14:textId="77777777" w:rsidR="004A1AEF" w:rsidRPr="006A5A9F" w:rsidRDefault="004A1AEF" w:rsidP="00E36EC1">
      <w:pPr>
        <w:pStyle w:val="a5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5A9F">
        <w:rPr>
          <w:rFonts w:ascii="Times New Roman" w:hAnsi="Times New Roman" w:cs="Times New Roman"/>
          <w:sz w:val="28"/>
          <w:szCs w:val="28"/>
        </w:rPr>
        <w:t>Заболотько</w:t>
      </w:r>
      <w:proofErr w:type="spellEnd"/>
      <w:r w:rsidRPr="006A5A9F">
        <w:rPr>
          <w:rFonts w:ascii="Times New Roman" w:hAnsi="Times New Roman" w:cs="Times New Roman"/>
          <w:sz w:val="28"/>
          <w:szCs w:val="28"/>
        </w:rPr>
        <w:t xml:space="preserve"> А.А. Инновационное развитие экономики: понятие, проблемы и пути решения. </w:t>
      </w:r>
      <w:r w:rsidRPr="006A5A9F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26" w:history="1">
        <w:r w:rsidRPr="006A5A9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https://cyberleninka.ru/article/n/innovatsionnoe-razvitie-ekonomiki-ponyatie-problemy-i-puti-resheniya/viewer</w:t>
        </w:r>
      </w:hyperlink>
      <w:r w:rsidRPr="006A5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4323ADF" w14:textId="77777777" w:rsidR="007D7CE6" w:rsidRPr="006A5A9F" w:rsidRDefault="007D7CE6" w:rsidP="00E36EC1">
      <w:pPr>
        <w:pStyle w:val="a5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5A9F">
        <w:rPr>
          <w:rFonts w:ascii="Times New Roman" w:hAnsi="Times New Roman" w:cs="Times New Roman"/>
          <w:sz w:val="28"/>
          <w:szCs w:val="28"/>
          <w:lang w:val="en-US"/>
        </w:rPr>
        <w:t xml:space="preserve">OECD Better Life Index. URL: </w:t>
      </w:r>
      <w:hyperlink r:id="rId27" w:anchor="/11111111111" w:history="1">
        <w:r w:rsidRPr="006A5A9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https://www.oecdbetterlifeindex.org/#/11111111111</w:t>
        </w:r>
      </w:hyperlink>
      <w:r w:rsidRPr="006A5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60926E5" w14:textId="77777777" w:rsidR="00A80891" w:rsidRPr="006A5A9F" w:rsidRDefault="00DB6988" w:rsidP="00E36EC1">
      <w:pPr>
        <w:pStyle w:val="a5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6A5A9F">
        <w:rPr>
          <w:rFonts w:ascii="Times New Roman" w:hAnsi="Times New Roman" w:cs="Times New Roman"/>
          <w:sz w:val="28"/>
          <w:szCs w:val="28"/>
        </w:rPr>
        <w:t xml:space="preserve">Российская венчурная компания: Глоссарий. </w:t>
      </w:r>
      <w:r w:rsidRPr="006A5A9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A5A9F">
        <w:rPr>
          <w:rFonts w:ascii="Times New Roman" w:hAnsi="Times New Roman" w:cs="Times New Roman"/>
          <w:sz w:val="28"/>
          <w:szCs w:val="28"/>
        </w:rPr>
        <w:t xml:space="preserve">: </w:t>
      </w:r>
      <w:hyperlink r:id="rId28">
        <w:r w:rsidRPr="006A5A9F">
          <w:rPr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A5A9F">
          <w:rPr>
            <w:rFonts w:ascii="Times New Roman" w:hAnsi="Times New Roman" w:cs="Times New Roman"/>
            <w:sz w:val="28"/>
            <w:szCs w:val="28"/>
          </w:rPr>
          <w:t>://</w:t>
        </w:r>
        <w:r w:rsidRPr="006A5A9F">
          <w:rPr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6A5A9F">
          <w:rPr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A5A9F">
          <w:rPr>
            <w:rFonts w:ascii="Times New Roman" w:hAnsi="Times New Roman" w:cs="Times New Roman"/>
            <w:sz w:val="28"/>
            <w:szCs w:val="28"/>
            <w:lang w:val="en-US"/>
          </w:rPr>
          <w:t>rvc</w:t>
        </w:r>
        <w:proofErr w:type="spellEnd"/>
        <w:r w:rsidRPr="006A5A9F">
          <w:rPr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A5A9F">
          <w:rPr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6A5A9F">
          <w:rPr>
            <w:rFonts w:ascii="Times New Roman" w:hAnsi="Times New Roman" w:cs="Times New Roman"/>
            <w:sz w:val="28"/>
            <w:szCs w:val="28"/>
          </w:rPr>
          <w:t>/</w:t>
        </w:r>
        <w:r w:rsidRPr="006A5A9F">
          <w:rPr>
            <w:rFonts w:ascii="Times New Roman" w:hAnsi="Times New Roman" w:cs="Times New Roman"/>
            <w:sz w:val="28"/>
            <w:szCs w:val="28"/>
            <w:lang w:val="en-US"/>
          </w:rPr>
          <w:t>about</w:t>
        </w:r>
        <w:r w:rsidRPr="006A5A9F">
          <w:rPr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6A5A9F">
          <w:rPr>
            <w:rFonts w:ascii="Times New Roman" w:hAnsi="Times New Roman" w:cs="Times New Roman"/>
            <w:sz w:val="28"/>
            <w:szCs w:val="28"/>
            <w:lang w:val="en-US"/>
          </w:rPr>
          <w:t>faq</w:t>
        </w:r>
        <w:proofErr w:type="spellEnd"/>
        <w:r w:rsidRPr="006A5A9F">
          <w:rPr>
            <w:rFonts w:ascii="Times New Roman" w:hAnsi="Times New Roman" w:cs="Times New Roman"/>
            <w:sz w:val="28"/>
            <w:szCs w:val="28"/>
          </w:rPr>
          <w:t>/</w:t>
        </w:r>
        <w:r w:rsidRPr="006A5A9F">
          <w:rPr>
            <w:rFonts w:ascii="Times New Roman" w:hAnsi="Times New Roman" w:cs="Times New Roman"/>
            <w:sz w:val="28"/>
            <w:szCs w:val="28"/>
            <w:lang w:val="en-US"/>
          </w:rPr>
          <w:t>glossary</w:t>
        </w:r>
        <w:r w:rsidRPr="006A5A9F">
          <w:rPr>
            <w:rFonts w:ascii="Times New Roman" w:hAnsi="Times New Roman" w:cs="Times New Roman"/>
            <w:sz w:val="28"/>
            <w:szCs w:val="28"/>
          </w:rPr>
          <w:t>/</w:t>
        </w:r>
      </w:hyperlink>
      <w:r w:rsidRPr="006A5A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260DA4" w14:textId="159D15A1" w:rsidR="005E03E3" w:rsidRPr="006A5A9F" w:rsidRDefault="000D19CE" w:rsidP="00E36EC1">
      <w:pPr>
        <w:pStyle w:val="a5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5A9F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A10D57" w:rsidRPr="006A5A9F">
        <w:rPr>
          <w:rFonts w:ascii="Times New Roman" w:hAnsi="Times New Roman" w:cs="Times New Roman"/>
          <w:sz w:val="28"/>
          <w:szCs w:val="28"/>
          <w:lang w:val="en-US"/>
        </w:rPr>
        <w:t>.Stat</w:t>
      </w:r>
      <w:proofErr w:type="spellEnd"/>
      <w:r w:rsidRPr="006A5A9F">
        <w:rPr>
          <w:rFonts w:ascii="Times New Roman" w:hAnsi="Times New Roman" w:cs="Times New Roman"/>
          <w:sz w:val="28"/>
          <w:szCs w:val="28"/>
          <w:lang w:val="en-US"/>
        </w:rPr>
        <w:t>: Venture capital investments</w:t>
      </w:r>
      <w:r w:rsidR="005E03E3" w:rsidRPr="006A5A9F">
        <w:rPr>
          <w:rFonts w:ascii="Times New Roman" w:hAnsi="Times New Roman" w:cs="Times New Roman"/>
          <w:sz w:val="28"/>
          <w:szCs w:val="28"/>
          <w:lang w:val="en-US"/>
        </w:rPr>
        <w:t xml:space="preserve">. URL: </w:t>
      </w:r>
      <w:hyperlink r:id="rId29" w:history="1">
        <w:r w:rsidR="005E03E3" w:rsidRPr="006A5A9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https://stats.oecd.org/Index.aspx?DataSetCode=VC_INVEST</w:t>
        </w:r>
      </w:hyperlink>
      <w:r w:rsidR="005E03E3" w:rsidRPr="006A5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C8CA474" w14:textId="2578E912" w:rsidR="006A5A9F" w:rsidRDefault="006A5A9F" w:rsidP="00E36EC1">
      <w:pPr>
        <w:pStyle w:val="a5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5A9F">
        <w:rPr>
          <w:rFonts w:ascii="Times New Roman" w:hAnsi="Times New Roman" w:cs="Times New Roman"/>
          <w:sz w:val="28"/>
          <w:szCs w:val="28"/>
        </w:rPr>
        <w:t xml:space="preserve">Четыркина Н.Ю. Конкурентоспособность страны: природа, источники и факторы. </w:t>
      </w:r>
      <w:r w:rsidRPr="006A5A9F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30" w:history="1">
        <w:r w:rsidRPr="006A5A9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https://cyberleninka.ru/article/n/konkurentosposobnost-strany-priroda-istochniki-i-faktory</w:t>
        </w:r>
      </w:hyperlink>
      <w:r w:rsidRPr="006A5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0E64FF5" w14:textId="73CE70C0" w:rsidR="00A45B91" w:rsidRPr="00AF32DA" w:rsidRDefault="00A45B91" w:rsidP="00E36EC1">
      <w:pPr>
        <w:pStyle w:val="a5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World Bank Open Data. URL: </w:t>
      </w:r>
      <w:hyperlink r:id="rId31" w:history="1">
        <w:r w:rsidRPr="00C5094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https://data.worldbank.org/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653811A" w14:textId="77777777" w:rsidR="006A5A9F" w:rsidRPr="00A45B91" w:rsidRDefault="006A5A9F" w:rsidP="00A45B91">
      <w:pPr>
        <w:pStyle w:val="a5"/>
        <w:ind w:left="1069"/>
        <w:rPr>
          <w:rFonts w:ascii="Times New Roman" w:hAnsi="Times New Roman" w:cs="Times New Roman"/>
          <w:sz w:val="28"/>
          <w:lang w:val="en-US"/>
        </w:rPr>
      </w:pPr>
    </w:p>
    <w:sectPr w:rsidR="006A5A9F" w:rsidRPr="00A45B91" w:rsidSect="00BE7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3132C" w14:textId="77777777" w:rsidR="005C2E01" w:rsidRDefault="005C2E01" w:rsidP="009D7A24">
      <w:pPr>
        <w:spacing w:after="0" w:line="240" w:lineRule="auto"/>
      </w:pPr>
      <w:r>
        <w:separator/>
      </w:r>
    </w:p>
  </w:endnote>
  <w:endnote w:type="continuationSeparator" w:id="0">
    <w:p w14:paraId="4FB03DBC" w14:textId="77777777" w:rsidR="005C2E01" w:rsidRDefault="005C2E01" w:rsidP="009D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8860795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7DB72A2B" w14:textId="77777777" w:rsidR="009151A8" w:rsidRPr="00BE782E" w:rsidRDefault="009151A8">
        <w:pPr>
          <w:pStyle w:val="aa"/>
          <w:jc w:val="right"/>
          <w:rPr>
            <w:color w:val="000000" w:themeColor="text1"/>
          </w:rPr>
        </w:pPr>
        <w:r w:rsidRPr="00BE782E">
          <w:rPr>
            <w:color w:val="000000" w:themeColor="text1"/>
          </w:rPr>
          <w:fldChar w:fldCharType="begin"/>
        </w:r>
        <w:r w:rsidRPr="00BE782E">
          <w:rPr>
            <w:color w:val="000000" w:themeColor="text1"/>
          </w:rPr>
          <w:instrText>PAGE   \* MERGEFORMAT</w:instrText>
        </w:r>
        <w:r w:rsidRPr="00BE782E">
          <w:rPr>
            <w:color w:val="000000" w:themeColor="text1"/>
          </w:rPr>
          <w:fldChar w:fldCharType="separate"/>
        </w:r>
        <w:r w:rsidRPr="00BE782E">
          <w:rPr>
            <w:color w:val="000000" w:themeColor="text1"/>
          </w:rPr>
          <w:t>2</w:t>
        </w:r>
        <w:r w:rsidRPr="00BE782E">
          <w:rPr>
            <w:color w:val="000000" w:themeColor="text1"/>
          </w:rPr>
          <w:fldChar w:fldCharType="end"/>
        </w:r>
      </w:p>
    </w:sdtContent>
  </w:sdt>
  <w:p w14:paraId="76D9ADAD" w14:textId="77777777" w:rsidR="009151A8" w:rsidRDefault="009151A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7491F" w14:textId="77777777" w:rsidR="005C2E01" w:rsidRDefault="005C2E01" w:rsidP="009D7A24">
      <w:pPr>
        <w:spacing w:after="0" w:line="240" w:lineRule="auto"/>
      </w:pPr>
      <w:r>
        <w:separator/>
      </w:r>
    </w:p>
  </w:footnote>
  <w:footnote w:type="continuationSeparator" w:id="0">
    <w:p w14:paraId="79E507D3" w14:textId="77777777" w:rsidR="005C2E01" w:rsidRDefault="005C2E01" w:rsidP="009D7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70DB5"/>
    <w:multiLevelType w:val="hybridMultilevel"/>
    <w:tmpl w:val="C9E26928"/>
    <w:lvl w:ilvl="0" w:tplc="7818AC4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2E563B"/>
    <w:multiLevelType w:val="hybridMultilevel"/>
    <w:tmpl w:val="A5202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A1D2D"/>
    <w:multiLevelType w:val="hybridMultilevel"/>
    <w:tmpl w:val="12A6D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F7"/>
    <w:rsid w:val="00005ADC"/>
    <w:rsid w:val="00021C3E"/>
    <w:rsid w:val="00041A74"/>
    <w:rsid w:val="000435E0"/>
    <w:rsid w:val="000514B1"/>
    <w:rsid w:val="00051A54"/>
    <w:rsid w:val="00056517"/>
    <w:rsid w:val="00057256"/>
    <w:rsid w:val="00060CA8"/>
    <w:rsid w:val="00074369"/>
    <w:rsid w:val="0008520F"/>
    <w:rsid w:val="0008653C"/>
    <w:rsid w:val="00096FB6"/>
    <w:rsid w:val="000A128B"/>
    <w:rsid w:val="000B2FF6"/>
    <w:rsid w:val="000B5256"/>
    <w:rsid w:val="000B71D2"/>
    <w:rsid w:val="000C0136"/>
    <w:rsid w:val="000C0516"/>
    <w:rsid w:val="000C0747"/>
    <w:rsid w:val="000D0F0C"/>
    <w:rsid w:val="000D19CE"/>
    <w:rsid w:val="000D752E"/>
    <w:rsid w:val="000D7BB5"/>
    <w:rsid w:val="000E50BD"/>
    <w:rsid w:val="000E5566"/>
    <w:rsid w:val="000F08A1"/>
    <w:rsid w:val="000F3F90"/>
    <w:rsid w:val="00105282"/>
    <w:rsid w:val="0011058A"/>
    <w:rsid w:val="00114455"/>
    <w:rsid w:val="0011671C"/>
    <w:rsid w:val="00121C1E"/>
    <w:rsid w:val="00135373"/>
    <w:rsid w:val="001356A3"/>
    <w:rsid w:val="00140972"/>
    <w:rsid w:val="001421D7"/>
    <w:rsid w:val="0014512C"/>
    <w:rsid w:val="0014568C"/>
    <w:rsid w:val="0014753E"/>
    <w:rsid w:val="00150D0E"/>
    <w:rsid w:val="0015389B"/>
    <w:rsid w:val="00155DA5"/>
    <w:rsid w:val="001614A4"/>
    <w:rsid w:val="00172CC0"/>
    <w:rsid w:val="00174797"/>
    <w:rsid w:val="001946D9"/>
    <w:rsid w:val="00197060"/>
    <w:rsid w:val="001A7AE1"/>
    <w:rsid w:val="001B02D0"/>
    <w:rsid w:val="001B1CD1"/>
    <w:rsid w:val="001B487A"/>
    <w:rsid w:val="001B59B4"/>
    <w:rsid w:val="001B6BB2"/>
    <w:rsid w:val="001B6C9E"/>
    <w:rsid w:val="001C0843"/>
    <w:rsid w:val="001C1B20"/>
    <w:rsid w:val="001C1BCC"/>
    <w:rsid w:val="001C50B3"/>
    <w:rsid w:val="001D2BE5"/>
    <w:rsid w:val="001D415B"/>
    <w:rsid w:val="001D4220"/>
    <w:rsid w:val="001D6920"/>
    <w:rsid w:val="001E1A4F"/>
    <w:rsid w:val="001E3626"/>
    <w:rsid w:val="001F4D92"/>
    <w:rsid w:val="001F5DD8"/>
    <w:rsid w:val="0020367D"/>
    <w:rsid w:val="0021444A"/>
    <w:rsid w:val="0021520B"/>
    <w:rsid w:val="002207DB"/>
    <w:rsid w:val="002254D3"/>
    <w:rsid w:val="002357D3"/>
    <w:rsid w:val="0024135E"/>
    <w:rsid w:val="00252DAE"/>
    <w:rsid w:val="00253BBB"/>
    <w:rsid w:val="00256B53"/>
    <w:rsid w:val="00262F0F"/>
    <w:rsid w:val="00271E76"/>
    <w:rsid w:val="002809D5"/>
    <w:rsid w:val="00293393"/>
    <w:rsid w:val="002A2258"/>
    <w:rsid w:val="002B3667"/>
    <w:rsid w:val="002B718D"/>
    <w:rsid w:val="002D0894"/>
    <w:rsid w:val="002E614A"/>
    <w:rsid w:val="002E6B1C"/>
    <w:rsid w:val="002F2CCC"/>
    <w:rsid w:val="002F37BD"/>
    <w:rsid w:val="002F3DF6"/>
    <w:rsid w:val="002F4737"/>
    <w:rsid w:val="003022D8"/>
    <w:rsid w:val="00304342"/>
    <w:rsid w:val="00307AD5"/>
    <w:rsid w:val="00321D96"/>
    <w:rsid w:val="00333E53"/>
    <w:rsid w:val="003363E6"/>
    <w:rsid w:val="00341309"/>
    <w:rsid w:val="00352A21"/>
    <w:rsid w:val="00365E86"/>
    <w:rsid w:val="003670B5"/>
    <w:rsid w:val="003706C0"/>
    <w:rsid w:val="0037194E"/>
    <w:rsid w:val="00371AE3"/>
    <w:rsid w:val="00372D4B"/>
    <w:rsid w:val="003741CF"/>
    <w:rsid w:val="00376ACF"/>
    <w:rsid w:val="003802DE"/>
    <w:rsid w:val="0039039C"/>
    <w:rsid w:val="00392BD7"/>
    <w:rsid w:val="003A1247"/>
    <w:rsid w:val="003A245E"/>
    <w:rsid w:val="003B41A2"/>
    <w:rsid w:val="003C7A4F"/>
    <w:rsid w:val="003D0F35"/>
    <w:rsid w:val="003D2376"/>
    <w:rsid w:val="003D3012"/>
    <w:rsid w:val="003D671B"/>
    <w:rsid w:val="003D706F"/>
    <w:rsid w:val="003F4744"/>
    <w:rsid w:val="003F4CA0"/>
    <w:rsid w:val="004008B8"/>
    <w:rsid w:val="004038E7"/>
    <w:rsid w:val="0041367A"/>
    <w:rsid w:val="004144C0"/>
    <w:rsid w:val="00416C2E"/>
    <w:rsid w:val="00424A8D"/>
    <w:rsid w:val="004315F6"/>
    <w:rsid w:val="0043168F"/>
    <w:rsid w:val="00442A1A"/>
    <w:rsid w:val="00447E24"/>
    <w:rsid w:val="00450052"/>
    <w:rsid w:val="00460816"/>
    <w:rsid w:val="00466877"/>
    <w:rsid w:val="00471044"/>
    <w:rsid w:val="00472B22"/>
    <w:rsid w:val="00477344"/>
    <w:rsid w:val="00482978"/>
    <w:rsid w:val="00483BBD"/>
    <w:rsid w:val="00484434"/>
    <w:rsid w:val="004923C6"/>
    <w:rsid w:val="00492485"/>
    <w:rsid w:val="00494B83"/>
    <w:rsid w:val="004A1AEF"/>
    <w:rsid w:val="004A4E1A"/>
    <w:rsid w:val="004A7BC9"/>
    <w:rsid w:val="004A7D59"/>
    <w:rsid w:val="004C0AEE"/>
    <w:rsid w:val="004C1C2A"/>
    <w:rsid w:val="004C4F03"/>
    <w:rsid w:val="004D1EF1"/>
    <w:rsid w:val="004D3BD3"/>
    <w:rsid w:val="004D55D3"/>
    <w:rsid w:val="004E3F41"/>
    <w:rsid w:val="004E4245"/>
    <w:rsid w:val="004E77BB"/>
    <w:rsid w:val="004F1FC7"/>
    <w:rsid w:val="004F27CF"/>
    <w:rsid w:val="005007B4"/>
    <w:rsid w:val="00503F7D"/>
    <w:rsid w:val="00510CC2"/>
    <w:rsid w:val="00515DB6"/>
    <w:rsid w:val="00520665"/>
    <w:rsid w:val="005230BA"/>
    <w:rsid w:val="00525491"/>
    <w:rsid w:val="00525E0E"/>
    <w:rsid w:val="0052735A"/>
    <w:rsid w:val="00543E7D"/>
    <w:rsid w:val="0054430D"/>
    <w:rsid w:val="00546CA0"/>
    <w:rsid w:val="00555C8D"/>
    <w:rsid w:val="00565502"/>
    <w:rsid w:val="00574338"/>
    <w:rsid w:val="00584A8B"/>
    <w:rsid w:val="0059476A"/>
    <w:rsid w:val="0059525D"/>
    <w:rsid w:val="005A72CD"/>
    <w:rsid w:val="005B0934"/>
    <w:rsid w:val="005B59B9"/>
    <w:rsid w:val="005C099A"/>
    <w:rsid w:val="005C2E01"/>
    <w:rsid w:val="005D18B2"/>
    <w:rsid w:val="005D5828"/>
    <w:rsid w:val="005D6AA6"/>
    <w:rsid w:val="005E03E3"/>
    <w:rsid w:val="005E3BD0"/>
    <w:rsid w:val="005F15BC"/>
    <w:rsid w:val="006027D9"/>
    <w:rsid w:val="00611A89"/>
    <w:rsid w:val="006126DA"/>
    <w:rsid w:val="006132B4"/>
    <w:rsid w:val="006218B1"/>
    <w:rsid w:val="00622E19"/>
    <w:rsid w:val="00624C86"/>
    <w:rsid w:val="00626E3E"/>
    <w:rsid w:val="00627573"/>
    <w:rsid w:val="00630498"/>
    <w:rsid w:val="006514CD"/>
    <w:rsid w:val="006561BB"/>
    <w:rsid w:val="00656805"/>
    <w:rsid w:val="00663E5A"/>
    <w:rsid w:val="00667B27"/>
    <w:rsid w:val="006904CD"/>
    <w:rsid w:val="00693EFC"/>
    <w:rsid w:val="00697527"/>
    <w:rsid w:val="006A5A9F"/>
    <w:rsid w:val="006B02F6"/>
    <w:rsid w:val="006B39B3"/>
    <w:rsid w:val="006C122A"/>
    <w:rsid w:val="006D06B6"/>
    <w:rsid w:val="006D1093"/>
    <w:rsid w:val="006E1C88"/>
    <w:rsid w:val="006E6BF3"/>
    <w:rsid w:val="006F03A5"/>
    <w:rsid w:val="00707391"/>
    <w:rsid w:val="00712DD7"/>
    <w:rsid w:val="007350A6"/>
    <w:rsid w:val="00735556"/>
    <w:rsid w:val="0074012D"/>
    <w:rsid w:val="007530C5"/>
    <w:rsid w:val="007553A7"/>
    <w:rsid w:val="00765FB9"/>
    <w:rsid w:val="00776B8C"/>
    <w:rsid w:val="0079366B"/>
    <w:rsid w:val="00796720"/>
    <w:rsid w:val="007C523B"/>
    <w:rsid w:val="007C74FC"/>
    <w:rsid w:val="007D279D"/>
    <w:rsid w:val="007D7CE6"/>
    <w:rsid w:val="007E67E3"/>
    <w:rsid w:val="007F33C6"/>
    <w:rsid w:val="007F61CC"/>
    <w:rsid w:val="007F7611"/>
    <w:rsid w:val="00823171"/>
    <w:rsid w:val="00832E47"/>
    <w:rsid w:val="00835CF1"/>
    <w:rsid w:val="00842E7C"/>
    <w:rsid w:val="00844B29"/>
    <w:rsid w:val="00855C15"/>
    <w:rsid w:val="008632A2"/>
    <w:rsid w:val="00866774"/>
    <w:rsid w:val="008667ED"/>
    <w:rsid w:val="00867773"/>
    <w:rsid w:val="00875525"/>
    <w:rsid w:val="00880869"/>
    <w:rsid w:val="00883DC1"/>
    <w:rsid w:val="00890CB9"/>
    <w:rsid w:val="008A5294"/>
    <w:rsid w:val="008B6342"/>
    <w:rsid w:val="008B650E"/>
    <w:rsid w:val="008B76AB"/>
    <w:rsid w:val="008C09CD"/>
    <w:rsid w:val="008C39C4"/>
    <w:rsid w:val="008C3B71"/>
    <w:rsid w:val="008D01CF"/>
    <w:rsid w:val="008D71CB"/>
    <w:rsid w:val="008E1143"/>
    <w:rsid w:val="008E6392"/>
    <w:rsid w:val="008E6F36"/>
    <w:rsid w:val="009151A8"/>
    <w:rsid w:val="009236B3"/>
    <w:rsid w:val="00930D96"/>
    <w:rsid w:val="00934AF4"/>
    <w:rsid w:val="00936820"/>
    <w:rsid w:val="00937C8B"/>
    <w:rsid w:val="0094754E"/>
    <w:rsid w:val="0095279E"/>
    <w:rsid w:val="00953CA2"/>
    <w:rsid w:val="00954E3C"/>
    <w:rsid w:val="009602F8"/>
    <w:rsid w:val="00963476"/>
    <w:rsid w:val="009639BF"/>
    <w:rsid w:val="009639E8"/>
    <w:rsid w:val="00966720"/>
    <w:rsid w:val="009673EC"/>
    <w:rsid w:val="00970FC4"/>
    <w:rsid w:val="00993133"/>
    <w:rsid w:val="009A0ABE"/>
    <w:rsid w:val="009A26D4"/>
    <w:rsid w:val="009B1F6D"/>
    <w:rsid w:val="009B4CA1"/>
    <w:rsid w:val="009B634D"/>
    <w:rsid w:val="009C0199"/>
    <w:rsid w:val="009C535B"/>
    <w:rsid w:val="009C6FE9"/>
    <w:rsid w:val="009D58DA"/>
    <w:rsid w:val="009D7A24"/>
    <w:rsid w:val="009F1500"/>
    <w:rsid w:val="00A01D25"/>
    <w:rsid w:val="00A024A3"/>
    <w:rsid w:val="00A0277E"/>
    <w:rsid w:val="00A030BE"/>
    <w:rsid w:val="00A048EB"/>
    <w:rsid w:val="00A10D57"/>
    <w:rsid w:val="00A14D0D"/>
    <w:rsid w:val="00A26DCC"/>
    <w:rsid w:val="00A3188E"/>
    <w:rsid w:val="00A334EF"/>
    <w:rsid w:val="00A37EB7"/>
    <w:rsid w:val="00A45B91"/>
    <w:rsid w:val="00A472F7"/>
    <w:rsid w:val="00A525CC"/>
    <w:rsid w:val="00A55AAA"/>
    <w:rsid w:val="00A60B7A"/>
    <w:rsid w:val="00A60D77"/>
    <w:rsid w:val="00A7102F"/>
    <w:rsid w:val="00A80891"/>
    <w:rsid w:val="00A8498E"/>
    <w:rsid w:val="00A8706C"/>
    <w:rsid w:val="00A877CF"/>
    <w:rsid w:val="00AA697F"/>
    <w:rsid w:val="00AB02FF"/>
    <w:rsid w:val="00AD3C22"/>
    <w:rsid w:val="00AD6C1F"/>
    <w:rsid w:val="00AE199F"/>
    <w:rsid w:val="00AE404C"/>
    <w:rsid w:val="00AF2CF2"/>
    <w:rsid w:val="00AF32DA"/>
    <w:rsid w:val="00AF7211"/>
    <w:rsid w:val="00AF78CD"/>
    <w:rsid w:val="00B01A80"/>
    <w:rsid w:val="00B0537C"/>
    <w:rsid w:val="00B07279"/>
    <w:rsid w:val="00B166F9"/>
    <w:rsid w:val="00B22F15"/>
    <w:rsid w:val="00B26980"/>
    <w:rsid w:val="00B26A48"/>
    <w:rsid w:val="00B31B95"/>
    <w:rsid w:val="00B5216B"/>
    <w:rsid w:val="00B52524"/>
    <w:rsid w:val="00B53762"/>
    <w:rsid w:val="00B60EDC"/>
    <w:rsid w:val="00B62D05"/>
    <w:rsid w:val="00B6668C"/>
    <w:rsid w:val="00B72127"/>
    <w:rsid w:val="00B721D3"/>
    <w:rsid w:val="00B779C1"/>
    <w:rsid w:val="00B80546"/>
    <w:rsid w:val="00B8295A"/>
    <w:rsid w:val="00B84490"/>
    <w:rsid w:val="00B86949"/>
    <w:rsid w:val="00B86B54"/>
    <w:rsid w:val="00B8770A"/>
    <w:rsid w:val="00B95989"/>
    <w:rsid w:val="00BA3BD0"/>
    <w:rsid w:val="00BB1964"/>
    <w:rsid w:val="00BB69BC"/>
    <w:rsid w:val="00BB7DBB"/>
    <w:rsid w:val="00BC0CA6"/>
    <w:rsid w:val="00BC7CA8"/>
    <w:rsid w:val="00BD5AE3"/>
    <w:rsid w:val="00BE2DC4"/>
    <w:rsid w:val="00BE3CA5"/>
    <w:rsid w:val="00BE456D"/>
    <w:rsid w:val="00BE782E"/>
    <w:rsid w:val="00BE7BAD"/>
    <w:rsid w:val="00BF36B6"/>
    <w:rsid w:val="00BF39D4"/>
    <w:rsid w:val="00BF4CAF"/>
    <w:rsid w:val="00BF65CB"/>
    <w:rsid w:val="00C0181A"/>
    <w:rsid w:val="00C04FD2"/>
    <w:rsid w:val="00C14194"/>
    <w:rsid w:val="00C44DB2"/>
    <w:rsid w:val="00C56B10"/>
    <w:rsid w:val="00C71706"/>
    <w:rsid w:val="00C80917"/>
    <w:rsid w:val="00C80E12"/>
    <w:rsid w:val="00CB1357"/>
    <w:rsid w:val="00CD207B"/>
    <w:rsid w:val="00CE7115"/>
    <w:rsid w:val="00CF1C8B"/>
    <w:rsid w:val="00CF312A"/>
    <w:rsid w:val="00CF354A"/>
    <w:rsid w:val="00CF453A"/>
    <w:rsid w:val="00D02E2F"/>
    <w:rsid w:val="00D054FB"/>
    <w:rsid w:val="00D060FC"/>
    <w:rsid w:val="00D132E0"/>
    <w:rsid w:val="00D145C5"/>
    <w:rsid w:val="00D15ABD"/>
    <w:rsid w:val="00D17E68"/>
    <w:rsid w:val="00D2304C"/>
    <w:rsid w:val="00D313EE"/>
    <w:rsid w:val="00D31872"/>
    <w:rsid w:val="00D34211"/>
    <w:rsid w:val="00D34297"/>
    <w:rsid w:val="00D34A16"/>
    <w:rsid w:val="00D3603F"/>
    <w:rsid w:val="00D418BB"/>
    <w:rsid w:val="00D5049B"/>
    <w:rsid w:val="00D551A4"/>
    <w:rsid w:val="00D55711"/>
    <w:rsid w:val="00D57192"/>
    <w:rsid w:val="00D662D6"/>
    <w:rsid w:val="00D7650E"/>
    <w:rsid w:val="00D8122D"/>
    <w:rsid w:val="00D94255"/>
    <w:rsid w:val="00D9667E"/>
    <w:rsid w:val="00DA0E0E"/>
    <w:rsid w:val="00DA23B0"/>
    <w:rsid w:val="00DB056B"/>
    <w:rsid w:val="00DB6988"/>
    <w:rsid w:val="00DC3B9D"/>
    <w:rsid w:val="00DD311A"/>
    <w:rsid w:val="00DD6A90"/>
    <w:rsid w:val="00DE16E9"/>
    <w:rsid w:val="00DE1736"/>
    <w:rsid w:val="00DF3883"/>
    <w:rsid w:val="00DF6784"/>
    <w:rsid w:val="00E07099"/>
    <w:rsid w:val="00E10071"/>
    <w:rsid w:val="00E1629E"/>
    <w:rsid w:val="00E24BF0"/>
    <w:rsid w:val="00E25BB1"/>
    <w:rsid w:val="00E33712"/>
    <w:rsid w:val="00E34C27"/>
    <w:rsid w:val="00E359D6"/>
    <w:rsid w:val="00E367A6"/>
    <w:rsid w:val="00E36EC1"/>
    <w:rsid w:val="00E448BC"/>
    <w:rsid w:val="00E669F6"/>
    <w:rsid w:val="00EA362E"/>
    <w:rsid w:val="00EC4E20"/>
    <w:rsid w:val="00EC5009"/>
    <w:rsid w:val="00EC5BC7"/>
    <w:rsid w:val="00EC7D57"/>
    <w:rsid w:val="00ED0225"/>
    <w:rsid w:val="00ED2399"/>
    <w:rsid w:val="00ED3168"/>
    <w:rsid w:val="00F1651A"/>
    <w:rsid w:val="00F228D8"/>
    <w:rsid w:val="00F244F0"/>
    <w:rsid w:val="00F24870"/>
    <w:rsid w:val="00F262B5"/>
    <w:rsid w:val="00F310E1"/>
    <w:rsid w:val="00F345F1"/>
    <w:rsid w:val="00F42C98"/>
    <w:rsid w:val="00F4526A"/>
    <w:rsid w:val="00F505D7"/>
    <w:rsid w:val="00F535CB"/>
    <w:rsid w:val="00F55C4F"/>
    <w:rsid w:val="00F6048B"/>
    <w:rsid w:val="00F630D8"/>
    <w:rsid w:val="00F635F6"/>
    <w:rsid w:val="00F66BCE"/>
    <w:rsid w:val="00F71159"/>
    <w:rsid w:val="00F714AA"/>
    <w:rsid w:val="00F73A0E"/>
    <w:rsid w:val="00F8747D"/>
    <w:rsid w:val="00F94BBE"/>
    <w:rsid w:val="00FA3D82"/>
    <w:rsid w:val="00FA7AEC"/>
    <w:rsid w:val="00FB3C9D"/>
    <w:rsid w:val="00FB6107"/>
    <w:rsid w:val="00FC5373"/>
    <w:rsid w:val="00FD2521"/>
    <w:rsid w:val="00FD2DA1"/>
    <w:rsid w:val="00FD5DCC"/>
    <w:rsid w:val="00FE1F85"/>
    <w:rsid w:val="00FE3591"/>
    <w:rsid w:val="00FF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A4D595"/>
  <w15:chartTrackingRefBased/>
  <w15:docId w15:val="{B0FA8335-74E5-4BA8-BB42-0EC62766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72F7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584A8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1C8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4A8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E67E3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891"/>
    <w:pPr>
      <w:spacing w:after="100"/>
    </w:pPr>
  </w:style>
  <w:style w:type="character" w:styleId="a4">
    <w:name w:val="Hyperlink"/>
    <w:basedOn w:val="a0"/>
    <w:uiPriority w:val="99"/>
    <w:unhideWhenUsed/>
    <w:rsid w:val="00A8089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F2CF2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5E03E3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333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F1C8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714AA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9D7A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D7A24"/>
  </w:style>
  <w:style w:type="paragraph" w:styleId="aa">
    <w:name w:val="footer"/>
    <w:basedOn w:val="a"/>
    <w:link w:val="ab"/>
    <w:uiPriority w:val="99"/>
    <w:unhideWhenUsed/>
    <w:rsid w:val="009D7A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D7A24"/>
  </w:style>
  <w:style w:type="character" w:styleId="ac">
    <w:name w:val="annotation reference"/>
    <w:basedOn w:val="a0"/>
    <w:uiPriority w:val="99"/>
    <w:semiHidden/>
    <w:unhideWhenUsed/>
    <w:rsid w:val="00DC3B9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C3B9D"/>
    <w:pPr>
      <w:suppressAutoHyphens w:val="0"/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C3B9D"/>
    <w:rPr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DC3B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C3B9D"/>
    <w:rPr>
      <w:rFonts w:ascii="Segoe UI" w:hAnsi="Segoe UI" w:cs="Segoe UI"/>
      <w:sz w:val="18"/>
      <w:szCs w:val="18"/>
    </w:rPr>
  </w:style>
  <w:style w:type="paragraph" w:styleId="af1">
    <w:name w:val="annotation subject"/>
    <w:basedOn w:val="ad"/>
    <w:next w:val="ad"/>
    <w:link w:val="af2"/>
    <w:uiPriority w:val="99"/>
    <w:semiHidden/>
    <w:unhideWhenUsed/>
    <w:rsid w:val="00BE2DC4"/>
    <w:pPr>
      <w:suppressAutoHyphens/>
    </w:pPr>
    <w:rPr>
      <w:b/>
      <w:bCs/>
    </w:rPr>
  </w:style>
  <w:style w:type="character" w:customStyle="1" w:styleId="af2">
    <w:name w:val="Тема примечания Знак"/>
    <w:basedOn w:val="ae"/>
    <w:link w:val="af1"/>
    <w:uiPriority w:val="99"/>
    <w:semiHidden/>
    <w:rsid w:val="00BE2D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cyberleninka.ru/article/n/innovatsionnoe-razvitie-ekonomiki-ponyatie-problemy-i-puti-resheniya/viewer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failory.com/blog/startup-failure-rate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stats.oecd.org/Index.aspx?DataSetCode=VC_INVE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rvc.ru/about/faq/glossary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ata.worldbank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oecdbetterlifeindex.org/" TargetMode="External"/><Relationship Id="rId30" Type="http://schemas.openxmlformats.org/officeDocument/2006/relationships/hyperlink" Target="https://cyberleninka.ru/article/n/konkurentosposobnost-strany-priroda-istochniki-i-faktory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4E54F-2102-432B-94D2-F67377E12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29</Pages>
  <Words>6657</Words>
  <Characters>37947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416</cp:revision>
  <dcterms:created xsi:type="dcterms:W3CDTF">2021-11-30T18:16:00Z</dcterms:created>
  <dcterms:modified xsi:type="dcterms:W3CDTF">2021-12-07T12:55:00Z</dcterms:modified>
</cp:coreProperties>
</file>