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C9A227"/>
          <w:sz w:val="22"/>
          <w:szCs w:val="22"/>
        </w:rPr>
        <w:t xml:space="preserve">Module 4 · Grounding · Unit 12</w:t>
      </w:r>
    </w:p>
    <w:p>
      <w:pPr>
        <w:pStyle w:val="Title"/>
      </w:pPr>
      <w:r>
        <w:t xml:space="preserve">Sustaining Performance</w:t>
      </w:r>
    </w:p>
    <w:p>
      <w:pPr>
        <w:spacing w:after="120"/>
      </w:pPr>
      <w:r>
        <w:t xml:space="preserve">Facilitator file · content for review</w:t>
      </w:r>
    </w:p>
    <w:p>
      <w:pPr>
        <w:spacing w:after="120"/>
      </w:pPr>
      <w:r>
        <w:t xml:space="preserve">Sustained performance is the leadership discipline of holding results once they are achieved. This unit carries two concepts through every section: the Three Lines of Sight of performance, read through the WARD check-up of each enterprise Key Result, and KISS, the four decisions the leadership team makes at the close of every quarter to hold and lift performance. Both come together on one page each quarter: the Quarterly Three Lines of Sight page.</w:t>
      </w:r>
    </w:p>
    <w:p>
      <w:pPr>
        <w:pStyle w:val="Heading2"/>
      </w:pPr>
      <w:r>
        <w:t xml:space="preserve">Key learning outcomes</w:t>
      </w:r>
    </w:p>
    <w:p>
      <w:pPr>
        <w:pStyle w:val="ListParagraph"/>
        <w:numPr>
          <w:ilvl w:val="0"/>
          <w:numId w:val="2"/>
        </w:numPr>
        <w:spacing w:after="60"/>
      </w:pPr>
      <w:r>
        <w:t xml:space="preserve">Distinguish short-term performance attainment from sustained institutional capability.</w:t>
      </w:r>
    </w:p>
    <w:p>
      <w:pPr>
        <w:pStyle w:val="ListParagraph"/>
        <w:numPr>
          <w:ilvl w:val="0"/>
          <w:numId w:val="2"/>
        </w:numPr>
        <w:spacing w:after="60"/>
      </w:pPr>
      <w:r>
        <w:t xml:space="preserve">Maintain continuous sight of strategic, operational and behavioural performance across the enterprise’s contributions.</w:t>
      </w:r>
    </w:p>
    <w:p>
      <w:pPr>
        <w:pStyle w:val="ListParagraph"/>
        <w:numPr>
          <w:ilvl w:val="0"/>
          <w:numId w:val="2"/>
        </w:numPr>
        <w:spacing w:after="60"/>
      </w:pPr>
      <w:r>
        <w:t xml:space="preserve">Recognise the sources of performance drift and the early erosion of strategic coherence.</w:t>
      </w:r>
    </w:p>
    <w:p>
      <w:pPr>
        <w:pStyle w:val="ListParagraph"/>
        <w:numPr>
          <w:ilvl w:val="0"/>
          <w:numId w:val="2"/>
        </w:numPr>
        <w:spacing w:after="60"/>
      </w:pPr>
      <w:r>
        <w:t xml:space="preserve">Exercise forward-looking executive judgement that protects organisational value and long-term performance.</w:t>
      </w:r>
    </w:p>
    <w:p>
      <w:pPr>
        <w:pStyle w:val="Heading1"/>
      </w:pPr>
      <w:r>
        <w:t xml:space="preserve">Facilitator Guide</w:t>
      </w:r>
    </w:p>
    <w:p>
      <w:pPr>
        <w:pStyle w:val="Heading3"/>
      </w:pPr>
      <w:r>
        <w:t xml:space="preserve">◆ Unit Intent</w:t>
      </w:r>
    </w:p>
    <w:p>
      <w:pPr>
        <w:spacing w:after="120"/>
      </w:pPr>
      <w:r>
        <w:t xml:space="preserve">Unit 12 answers the closing question of the programme: how does a leadership team hold results once it has achieved them? The answer runs on two concepts the participants already know. The Three Lines of Sight show where performance is drifting, read through the WARD check-up set for each enterprise Key Result in Unit 6. KISS is the set of decisions the leadership team makes at the close of every quarter to hold what works and correct what drifts.</w:t>
      </w:r>
    </w:p>
    <w:p>
      <w:pPr>
        <w:spacing w:after="120"/>
      </w:pPr>
      <w:r>
        <w:t xml:space="preserve">The unit produces one working instrument: the </w:t>
      </w:r>
      <w:r>
        <w:rPr>
          <w:b/>
          <w:bCs/>
        </w:rPr>
        <w:t xml:space="preserve">Quarterly Three Lines of Sight page</w:t>
      </w:r>
      <w:r>
        <w:t xml:space="preserve">. Each quarter it brings together results the participants already know how to produce: the Key Result against its WARD waypoint (Unit 6), the ESRG scan (Unit 10) and the Organisational Health Thermometer (Unit 11). WARD filters each line, and KISS closes the page.</w:t>
      </w:r>
    </w:p>
    <w:p>
      <w:pPr>
        <w:spacing w:after="120"/>
      </w:pPr>
      <w:r>
        <w:t xml:space="preserve">Each section carries both concepts one step further: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Section</w:t>
            </w:r>
          </w:p>
        </w:tc>
        <w:tc>
          <w:tcPr>
            <w:tcW w:type="dxa" w:w="3313"/>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Three Lines of Sight</w:t>
            </w:r>
          </w:p>
        </w:tc>
        <w:tc>
          <w:tcPr>
            <w:tcW w:type="dxa" w:w="3313"/>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KISS</w:t>
            </w:r>
          </w:p>
        </w:tc>
      </w:tr>
      <w:tr>
        <w:trPr>
          <w:tblHeader w:val="off"/>
        </w:trPr>
        <w:tc>
          <w:tcPr>
            <w:tcW w:type="dxa" w:w="24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1 · Awareness — What</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What the three lines are, the results each line reads, and how WARD filters them</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What Keep, Improve, Stop and Start mean</w:t>
            </w:r>
          </w:p>
        </w:tc>
      </w:tr>
      <w:tr>
        <w:trPr>
          <w:tblHeader w:val="off"/>
        </w:trPr>
        <w:tc>
          <w:tcPr>
            <w:tcW w:type="dxa" w:w="24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2 · Intelligence — Why</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Why performance drifts on each line</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Why each KISS decision counters that drift</w:t>
            </w:r>
          </w:p>
        </w:tc>
      </w:tr>
      <w:tr>
        <w:trPr>
          <w:tblHeader w:val="off"/>
        </w:trPr>
        <w:tc>
          <w:tcPr>
            <w:tcW w:type="dxa" w:w="24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3 · Extrapolating — Where</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Where drift shows first in each executive domain</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Where each executive’s KISS decision sits</w:t>
            </w:r>
          </w:p>
        </w:tc>
      </w:tr>
      <w:tr>
        <w:trPr>
          <w:tblHeader w:val="off"/>
        </w:trPr>
        <w:tc>
          <w:tcPr>
            <w:tcW w:type="dxa" w:w="24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4 · Integration — Collective</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leadership team completes the quarterly page from its worked results</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leadership team makes its KISS decisions at quarter close</w:t>
            </w:r>
          </w:p>
        </w:tc>
      </w:tr>
      <w:tr>
        <w:trPr>
          <w:tblHeader w:val="off"/>
        </w:trPr>
        <w:tc>
          <w:tcPr>
            <w:tcW w:type="dxa" w:w="24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5 · Application — In Practice</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group completes the quarterly page for its Capstone organisation</w:t>
            </w:r>
          </w:p>
        </w:tc>
        <w:tc>
          <w:tcPr>
            <w:tcW w:type="dxa" w:w="331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group makes its KISS decisions for the next quarter</w:t>
            </w:r>
          </w:p>
        </w:tc>
      </w:tr>
    </w:tbl>
    <w:p>
      <w:pPr>
        <w:spacing w:after="60"/>
      </w:pPr>
    </w:p>
    <w:p>
      <w:pPr>
        <w:pStyle w:val="Heading3"/>
      </w:pPr>
      <w:r>
        <w:t xml:space="preserve">◆ Key Facilitation Questions</w:t>
      </w:r>
    </w:p>
    <w:p>
      <w:pPr>
        <w:pStyle w:val="ListParagraph"/>
        <w:numPr>
          <w:ilvl w:val="0"/>
          <w:numId w:val="3"/>
        </w:numPr>
        <w:spacing w:after="60"/>
      </w:pPr>
      <w:r>
        <w:t xml:space="preserve">“Think of a result your organisation achieved and then lost. Which line of sight showed the drift first, and who was watching it?”</w:t>
      </w:r>
    </w:p>
    <w:p>
      <w:pPr>
        <w:pStyle w:val="ListParagraph"/>
        <w:numPr>
          <w:ilvl w:val="0"/>
          <w:numId w:val="3"/>
        </w:numPr>
        <w:spacing w:after="60"/>
      </w:pPr>
      <w:r>
        <w:t xml:space="preserve">“When your leadership team reviews a Key Result, how much of the conversation is about the result, and how much is about the conditions and behaviours that produce it?”</w:t>
      </w:r>
    </w:p>
    <w:p>
      <w:pPr>
        <w:pStyle w:val="ListParagraph"/>
        <w:numPr>
          <w:ilvl w:val="0"/>
          <w:numId w:val="3"/>
        </w:numPr>
        <w:spacing w:after="60"/>
      </w:pPr>
      <w:r>
        <w:t xml:space="preserve">“Which KISS decision does your leadership team find hardest to make, and what keeps it from being made?”</w:t>
      </w:r>
    </w:p>
    <w:p>
      <w:pPr>
        <w:pStyle w:val="Heading3"/>
      </w:pPr>
      <w:r>
        <w:t xml:space="preserve">◆ Tone &amp; Watch Points</w:t>
      </w:r>
    </w:p>
    <w:p>
      <w:pPr>
        <w:pStyle w:val="ListParagraph"/>
        <w:numPr>
          <w:ilvl w:val="0"/>
          <w:numId w:val="3"/>
        </w:numPr>
        <w:spacing w:after="60"/>
      </w:pPr>
      <w:r>
        <w:rPr>
          <w:b/>
          <w:bCs/>
        </w:rPr>
        <w:t xml:space="preserve">Hold the unit to two concepts.</w:t>
      </w:r>
      <w:r>
        <w:t xml:space="preserve"> Every section returns to the Three Lines of Sight and KISS. Where participants bring in other tools from earlier units, connect what they say back to the line of sight it belongs to.</w:t>
      </w:r>
    </w:p>
    <w:p>
      <w:pPr>
        <w:pStyle w:val="ListParagraph"/>
        <w:numPr>
          <w:ilvl w:val="0"/>
          <w:numId w:val="3"/>
        </w:numPr>
        <w:spacing w:after="60"/>
      </w:pPr>
      <w:r>
        <w:rPr>
          <w:b/>
          <w:bCs/>
        </w:rPr>
        <w:t xml:space="preserve">The results are already theirs.</w:t>
      </w:r>
      <w:r>
        <w:t xml:space="preserve"> Each group set WARD in Unit 6, ran the ESRG scan in Unit 10 and the Health Thermometer in Unit 11. Present Unit 12 as the quarterly routine that brings these results onto one page and acts on them.</w:t>
      </w:r>
    </w:p>
    <w:p>
      <w:pPr>
        <w:pStyle w:val="ListParagraph"/>
        <w:numPr>
          <w:ilvl w:val="0"/>
          <w:numId w:val="3"/>
        </w:numPr>
        <w:spacing w:after="60"/>
      </w:pPr>
      <w:r>
        <w:rPr>
          <w:b/>
          <w:bCs/>
        </w:rPr>
        <w:t xml:space="preserve">Watch for results-only reading.</w:t>
      </w:r>
      <w:r>
        <w:t xml:space="preserve"> Leaders who read only the strategic line see drift last. Bring the conversation back to the operational and behavioural lines each time it settles on the result alone.</w:t>
      </w:r>
    </w:p>
    <w:p>
      <w:pPr>
        <w:pStyle w:val="ListParagraph"/>
        <w:numPr>
          <w:ilvl w:val="0"/>
          <w:numId w:val="3"/>
        </w:numPr>
        <w:spacing w:after="60"/>
      </w:pPr>
      <w:r>
        <w:rPr>
          <w:b/>
          <w:bCs/>
        </w:rPr>
        <w:t xml:space="preserve">Keep KISS specific.</w:t>
      </w:r>
      <w:r>
        <w:t xml:space="preserve"> A KISS decision names the practice, the owner and when it takes effect. Guide participants from general intentions to named practices.</w:t>
      </w:r>
    </w:p>
    <w:p>
      <w:pPr>
        <w:pStyle w:val="Heading1"/>
      </w:pPr>
      <w:r>
        <w:t xml:space="preserve">Section 1 · Awareness — What</w:t>
      </w:r>
    </w:p>
    <w:p>
      <w:pPr>
        <w:spacing w:after="120"/>
      </w:pPr>
      <w:r>
        <w:rPr>
          <w:b/>
          <w:bCs/>
        </w:rPr>
        <w:t xml:space="preserve">What sustains performance</w:t>
      </w:r>
    </w:p>
    <w:p>
      <w:pPr>
        <w:pStyle w:val="Heading3"/>
      </w:pPr>
      <w:r>
        <w:t xml:space="preserve">Section learning outcomes</w:t>
      </w:r>
    </w:p>
    <w:p>
      <w:pPr>
        <w:pStyle w:val="ListParagraph"/>
        <w:numPr>
          <w:ilvl w:val="0"/>
          <w:numId w:val="4"/>
        </w:numPr>
        <w:spacing w:after="60"/>
      </w:pPr>
      <w:r>
        <w:t xml:space="preserve">Recognise the force that pulls achieved results back towards average.</w:t>
      </w:r>
    </w:p>
    <w:p>
      <w:pPr>
        <w:pStyle w:val="ListParagraph"/>
        <w:numPr>
          <w:ilvl w:val="0"/>
          <w:numId w:val="4"/>
        </w:numPr>
        <w:spacing w:after="60"/>
      </w:pPr>
      <w:r>
        <w:t xml:space="preserve">Identify the leadership decisions that hold performance against that pull.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F6F2" w:sz="4"/>
              <w:left w:val="single" w:color="1A4D2E" w:sz="24"/>
              <w:bottom w:val="single" w:color="F3F6F2" w:sz="4"/>
              <w:right w:val="single" w:color="F3F6F2" w:sz="4"/>
            </w:tcBorders>
            <w:shd w:fill="F3F6F2" w:color="auto" w:val="clear"/>
            <w:tcMar>
              <w:top w:type="dxa" w:w="120"/>
              <w:left w:type="dxa" w:w="180"/>
              <w:bottom w:type="dxa" w:w="80"/>
              <w:right w:type="dxa" w:w="180"/>
            </w:tcMar>
          </w:tcPr>
          <w:p>
            <w:pPr>
              <w:spacing w:after="80"/>
            </w:pPr>
            <w:r>
              <w:rPr>
                <w:b/>
                <w:bCs/>
                <w:color w:val="1A4D2E"/>
              </w:rPr>
              <w:t xml:space="preserve">◆ FACILITATOR GUIDANCE</w:t>
            </w:r>
          </w:p>
          <w:p>
            <w:pPr>
              <w:spacing w:after="120"/>
            </w:pPr>
            <w:r>
              <w:t xml:space="preserve">Open with the question of the unit: once a result is achieved, what holds it? Teach 1.1 and 1.2 first, then return to the room with the opening question in the Key Facilitation Questions.</w:t>
            </w:r>
          </w:p>
          <w:p>
            <w:pPr>
              <w:spacing w:after="120"/>
            </w:pPr>
            <w:r>
              <w:t xml:space="preserve">In 1.2, connect each line to the result it reads: the Key Result for the strategic line, the ESRG scan for the operational line and the Health Thermometer for the behavioural line. Then show how WARD filters all three.</w:t>
            </w:r>
          </w:p>
          <w:p>
            <w:pPr>
              <w:spacing w:after="120"/>
            </w:pPr>
            <w:r>
              <w:t xml:space="preserve">In 1.3, define each KISS decision clearly. Section 2 explains why each one counters a form of drift, so keep 1.3 to what each decision is.</w:t>
            </w:r>
          </w:p>
        </w:tc>
      </w:tr>
    </w:tbl>
    <w:p>
      <w:pPr>
        <w:pStyle w:val="Heading2"/>
      </w:pPr>
      <w:r>
        <w:t xml:space="preserve">1.1 — Performance Gravity</w:t>
      </w:r>
    </w:p>
    <w:p>
      <w:pPr>
        <w:spacing w:after="120"/>
      </w:pPr>
      <w:r>
        <w:t xml:space="preserve">Achieving a result and holding it are two separate leadership tasks. The strategy, the contributions and the performance system built across this programme produce results. Once achieved, those results come under a steady pull back towards the organisation’s historical average. This pull is </w:t>
      </w:r>
      <w:r>
        <w:rPr>
          <w:b/>
          <w:bCs/>
        </w:rPr>
        <w:t xml:space="preserve">Performance Gravity</w:t>
      </w:r>
      <w:r>
        <w:t xml:space="preserve">.</w:t>
      </w:r>
    </w:p>
    <w:p>
      <w:pPr>
        <w:spacing w:after="120"/>
      </w:pPr>
      <w:r>
        <w:t xml:space="preserve">Performance Gravity works quietly. Results often remain acceptable for several cycles while the conditions and behaviours that produced them weaken underneath. By the time the decline shows in the result, the cost of correcting it is far higher than the cost of noticing it early.</w:t>
      </w:r>
    </w:p>
    <w:p>
      <w:pPr>
        <w:spacing w:after="120"/>
      </w:pPr>
      <w:r>
        <w:t xml:space="preserve">Sustaining performance is the leadership discipline of seeing that pull early and responding to it every cycle.</w:t>
      </w:r>
    </w:p>
    <w:p>
      <w:pPr>
        <w:pStyle w:val="Heading2"/>
      </w:pPr>
      <w:r>
        <w:t xml:space="preserve">1.2 — The Three Lines of Sight</w:t>
      </w:r>
    </w:p>
    <w:p>
      <w:pPr>
        <w:spacing w:after="120"/>
      </w:pPr>
      <w:r>
        <w:t xml:space="preserve">Performance Gravity shows first as drift on one of three lines of sight. Sustaining performance means keeping all three in view, every quarter, on the enterprise Key Result and the contributions in your S2R® Contribution Map™. Each line is read from a result your leadership team already produces.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63"/>
        <w:gridCol w:w="3863"/>
      </w:tblGrid>
      <w:tr>
        <w:trPr>
          <w:tblHeader/>
        </w:trPr>
        <w:tc>
          <w:tcPr>
            <w:tcW w:type="dxa" w:w="17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Line of sight</w:t>
            </w:r>
          </w:p>
        </w:tc>
        <w:tc>
          <w:tcPr>
            <w:tcW w:type="dxa" w:w="3463"/>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The question each quarter</w:t>
            </w:r>
          </w:p>
        </w:tc>
        <w:tc>
          <w:tcPr>
            <w:tcW w:type="dxa" w:w="3863"/>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The result it reads</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Strategic</w:t>
            </w:r>
          </w:p>
        </w:tc>
        <w:tc>
          <w:tcPr>
            <w:tcW w:type="dxa" w:w="346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Is the Key Result still moving towards its Success in Practice?</w:t>
            </w:r>
          </w:p>
        </w:tc>
        <w:tc>
          <w:tcPr>
            <w:tcW w:type="dxa" w:w="386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Key Result against its WARD waypoint (Unit 6)</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Operational</w:t>
            </w:r>
          </w:p>
        </w:tc>
        <w:tc>
          <w:tcPr>
            <w:tcW w:type="dxa" w:w="346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Are the organisational conditions still enabling the people’s tasks?</w:t>
            </w:r>
          </w:p>
        </w:tc>
        <w:tc>
          <w:tcPr>
            <w:tcW w:type="dxa" w:w="386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ESRG scan: Operational Readiness, Operational Flow, Delivery Capacity and Decision Responsiveness (Unit 10)</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Behavioural</w:t>
            </w:r>
          </w:p>
        </w:tc>
        <w:tc>
          <w:tcPr>
            <w:tcW w:type="dxa" w:w="346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Are people still delivering the agreed behaviours?</w:t>
            </w:r>
          </w:p>
        </w:tc>
        <w:tc>
          <w:tcPr>
            <w:tcW w:type="dxa" w:w="386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Organisational Health Thermometer: the functional health score and the five traits (Unit 11)</w:t>
            </w:r>
          </w:p>
        </w:tc>
      </w:tr>
    </w:tbl>
    <w:p>
      <w:pPr>
        <w:spacing w:after="60"/>
      </w:pPr>
    </w:p>
    <w:p>
      <w:pPr>
        <w:pStyle w:val="Heading3"/>
      </w:pPr>
      <w:r>
        <w:t xml:space="preserve">Filtering each line through WARD</w:t>
      </w:r>
    </w:p>
    <w:p>
      <w:pPr>
        <w:spacing w:after="120"/>
      </w:pPr>
      <w:r>
        <w:t xml:space="preserve">WARD, set for your enterprise Key Result in Unit 6, filters all three lines. Each line has a level it must hold (the waypoint), a point at which it raises a red flag (the alert), a recovery and a Decider.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3"/>
        <w:gridCol w:w="2443"/>
        <w:gridCol w:w="2440"/>
      </w:tblGrid>
      <w:tr>
        <w:trPr>
          <w:tblHeader/>
        </w:trPr>
        <w:tc>
          <w:tcPr>
            <w:tcW w:type="dxa" w:w="17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WARD</w:t>
            </w:r>
          </w:p>
        </w:tc>
        <w:tc>
          <w:tcPr>
            <w:tcW w:type="dxa" w:w="2443"/>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Strategic</w:t>
            </w:r>
          </w:p>
        </w:tc>
        <w:tc>
          <w:tcPr>
            <w:tcW w:type="dxa" w:w="2443"/>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Operational</w:t>
            </w:r>
          </w:p>
        </w:tc>
        <w:tc>
          <w:tcPr>
            <w:tcW w:type="dxa" w:w="244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Behavioural</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W · Waypoint</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Key Result level set for this quarter</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Each capability at Aligned (4.0–5.0)</w:t>
            </w:r>
          </w:p>
        </w:tc>
        <w:tc>
          <w:tcPr>
            <w:tcW w:type="dxa" w:w="244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Functional health at Healthy &amp; Thriving (80–100)</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A · Alert</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More than the agreed margin below the waypoint</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A capability below 3.0 (Significant or Critical constraint)</w:t>
            </w:r>
          </w:p>
        </w:tc>
        <w:tc>
          <w:tcPr>
            <w:tcW w:type="dxa" w:w="244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Functional health below 60 (Caution Zone or Unhealthy)</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R · Recovery</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Recovery for individuals and for the organisational conditions</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owner of the condition restores it</w:t>
            </w:r>
          </w:p>
        </w:tc>
        <w:tc>
          <w:tcPr>
            <w:tcW w:type="dxa" w:w="244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accountable executive restores the weakest traits</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D · Decider</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executive who decides on the recovery and sees it through</w:t>
            </w:r>
          </w:p>
        </w:tc>
        <w:tc>
          <w:tcPr>
            <w:tcW w:type="dxa" w:w="2443"/>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same Decider</w:t>
            </w:r>
          </w:p>
        </w:tc>
        <w:tc>
          <w:tcPr>
            <w:tcW w:type="dxa" w:w="244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same Decider</w:t>
            </w:r>
          </w:p>
        </w:tc>
      </w:tr>
    </w:tbl>
    <w:p>
      <w:pPr>
        <w:spacing w:after="60"/>
      </w:pPr>
    </w:p>
    <w:p>
      <w:pPr>
        <w:spacing w:after="120"/>
      </w:pPr>
      <w:r>
        <w:t xml:space="preserve">The operational and behavioural waypoints and alerts use the score bands already taught with the ESRG scan and the Health Thermometer. Drift usually raises an alert on the operational or behavioural line before the Key Result misses its waypoint. A leadership team that reads only the waypoint of the Key Result sees Performance Gravity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F6E6" w:sz="4"/>
              <w:left w:val="single" w:color="C9A227" w:sz="24"/>
              <w:bottom w:val="single" w:color="FBF6E6" w:sz="4"/>
              <w:right w:val="single" w:color="FBF6E6" w:sz="4"/>
            </w:tcBorders>
            <w:shd w:fill="FBF6E6" w:color="auto" w:val="clear"/>
            <w:tcMar>
              <w:top w:type="dxa" w:w="120"/>
              <w:left w:type="dxa" w:w="180"/>
              <w:bottom w:type="dxa" w:w="80"/>
              <w:right w:type="dxa" w:w="180"/>
            </w:tcMar>
          </w:tcPr>
          <w:p>
            <w:pPr>
              <w:spacing w:after="80"/>
            </w:pPr>
            <w:r>
              <w:rPr>
                <w:b/>
                <w:bCs/>
                <w:color w:val="C9A227"/>
              </w:rPr>
              <w:t xml:space="preserve">✎ Participant reflection · 1.2</w:t>
            </w:r>
          </w:p>
          <w:p>
            <w:pPr>
              <w:spacing w:after="120"/>
            </w:pPr>
            <w:r>
              <w:t xml:space="preserve">Which of the three lines of sight does your leadership team read least, and what has that cost your organisation?</w:t>
            </w:r>
          </w:p>
        </w:tc>
      </w:tr>
    </w:tbl>
    <w:p>
      <w:pPr>
        <w:pStyle w:val="Heading2"/>
      </w:pPr>
      <w:r>
        <w:t xml:space="preserve">1.3 — KISS: The Four Sustaining Decisions</w:t>
      </w:r>
    </w:p>
    <w:p>
      <w:pPr>
        <w:spacing w:after="120"/>
      </w:pPr>
      <w:r>
        <w:t xml:space="preserve">At the close of every quarter, the leadership team makes four decisions about the practices, routines, behaviours and conditions behind its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Decision</w:t>
            </w:r>
          </w:p>
        </w:tc>
        <w:tc>
          <w:tcPr>
            <w:tcW w:type="dxa" w:w="7326"/>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What it means</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K · Keep</w:t>
            </w:r>
          </w:p>
        </w:tc>
        <w:tc>
          <w:tcPr>
            <w:tcW w:type="dxa" w:w="73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Identify, name and protect the practices, routines, behaviours and conditions that are producing reliable results. Effective practices depend on leadership attention; when that attention moves elsewhere, they weaken without notice. Keep makes the implicit explicit: what is producing this result, and what must stay in place for it to continue?</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I · Improve</w:t>
            </w:r>
          </w:p>
        </w:tc>
        <w:tc>
          <w:tcPr>
            <w:tcW w:type="dxa" w:w="73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Recognise what was working well and is beginning to work less well, and recalibrate it while the gap is still a signal. Practices that were excellent six months ago may be merely adequate today. Improve corrects them before the gap shows in the result.</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 · Stop</w:t>
            </w:r>
          </w:p>
        </w:tc>
        <w:tc>
          <w:tcPr>
            <w:tcW w:type="dxa" w:w="73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Eliminate practices, meetings, processes, reports and approval layers that consume energy without producing commensurate value. Stop is the hardest decision, because every practice has a sponsor and people whose interests it serves.</w:t>
            </w:r>
          </w:p>
        </w:tc>
      </w:tr>
      <w:tr>
        <w:trPr>
          <w:tblHeader w:val="off"/>
        </w:trPr>
        <w:tc>
          <w:tcPr>
            <w:tcW w:type="dxa" w:w="17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 · Start</w:t>
            </w:r>
          </w:p>
        </w:tc>
        <w:tc>
          <w:tcPr>
            <w:tcW w:type="dxa" w:w="73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Introduce what the organisation is not yet capable of and will need for the next level of performance. Start invests in future capability while current results make that investment possible.</w:t>
            </w:r>
          </w:p>
        </w:tc>
      </w:tr>
    </w:tbl>
    <w:p>
      <w:pPr>
        <w:spacing w:after="60"/>
      </w:pPr>
    </w:p>
    <w:p>
      <w:pPr>
        <w:pStyle w:val="Heading1"/>
      </w:pPr>
      <w:r>
        <w:t xml:space="preserve">Section 2 · Intelligence — Why</w:t>
      </w:r>
    </w:p>
    <w:p>
      <w:pPr>
        <w:spacing w:after="120"/>
      </w:pPr>
      <w:r>
        <w:rPr>
          <w:b/>
          <w:bCs/>
        </w:rPr>
        <w:t xml:space="preserve">Why performance drifts, and why KISS holds it</w:t>
      </w:r>
    </w:p>
    <w:p>
      <w:pPr>
        <w:pStyle w:val="Heading3"/>
      </w:pPr>
      <w:r>
        <w:t xml:space="preserve">Section learning outcomes</w:t>
      </w:r>
    </w:p>
    <w:p>
      <w:pPr>
        <w:pStyle w:val="ListParagraph"/>
        <w:numPr>
          <w:ilvl w:val="0"/>
          <w:numId w:val="5"/>
        </w:numPr>
        <w:spacing w:after="60"/>
      </w:pPr>
      <w:r>
        <w:t xml:space="preserve">Explain why achieved performance drifts back towards average across strategy, operations and behaviour.</w:t>
      </w:r>
    </w:p>
    <w:p>
      <w:pPr>
        <w:pStyle w:val="ListParagraph"/>
        <w:numPr>
          <w:ilvl w:val="0"/>
          <w:numId w:val="5"/>
        </w:numPr>
        <w:spacing w:after="60"/>
      </w:pPr>
      <w:r>
        <w:t xml:space="preserve">Counter drift before it reaches the enterprise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F6F2" w:sz="4"/>
              <w:left w:val="single" w:color="1A4D2E" w:sz="24"/>
              <w:bottom w:val="single" w:color="F3F6F2" w:sz="4"/>
              <w:right w:val="single" w:color="F3F6F2" w:sz="4"/>
            </w:tcBorders>
            <w:shd w:fill="F3F6F2" w:color="auto" w:val="clear"/>
            <w:tcMar>
              <w:top w:type="dxa" w:w="120"/>
              <w:left w:type="dxa" w:w="180"/>
              <w:bottom w:type="dxa" w:w="80"/>
              <w:right w:type="dxa" w:w="180"/>
            </w:tcMar>
          </w:tcPr>
          <w:p>
            <w:pPr>
              <w:spacing w:after="80"/>
            </w:pPr>
            <w:r>
              <w:rPr>
                <w:b/>
                <w:bCs/>
                <w:color w:val="1A4D2E"/>
              </w:rPr>
              <w:t xml:space="preserve">◆ FACILITATOR GUIDANCE</w:t>
            </w:r>
          </w:p>
          <w:p>
            <w:pPr>
              <w:spacing w:after="120"/>
            </w:pPr>
            <w:r>
              <w:t xml:space="preserve">Teach 2.1 one line at a time: the mechanism, how it shows, and how it reaches the result. Use an example from the room for each line once it has been taught.</w:t>
            </w:r>
          </w:p>
          <w:p>
            <w:pPr>
              <w:spacing w:after="120"/>
            </w:pPr>
            <w:r>
              <w:t xml:space="preserve">Then teach 2.2 by reading the table across: the line of sight, the drift on that line, and the KISS decisions that counter it. Make the link explicit: each KISS decision answers a specific form of drift.</w:t>
            </w:r>
          </w:p>
          <w:p>
            <w:pPr>
              <w:spacing w:after="120"/>
            </w:pPr>
            <w:r>
              <w:t xml:space="preserve">Close with the participant reflection. Guide participants to name a real practice from their own organisation.</w:t>
            </w:r>
          </w:p>
        </w:tc>
      </w:tr>
    </w:tbl>
    <w:p>
      <w:pPr>
        <w:pStyle w:val="Heading2"/>
      </w:pPr>
      <w:r>
        <w:t xml:space="preserve">2.1 — Why Performance Drifts</w:t>
      </w:r>
    </w:p>
    <w:p>
      <w:pPr>
        <w:spacing w:after="120"/>
      </w:pPr>
      <w:r>
        <w:t xml:space="preserve">Performance Gravity works through a different mechanism on each line of sight.</w:t>
      </w:r>
    </w:p>
    <w:p>
      <w:pPr>
        <w:pStyle w:val="Heading3"/>
      </w:pPr>
      <w:r>
        <w:t xml:space="preserve">Strategic line · Momentum Illusion</w:t>
      </w:r>
    </w:p>
    <w:p>
      <w:pPr>
        <w:spacing w:after="120"/>
      </w:pPr>
      <w:r>
        <w:t xml:space="preserve">The market, customers and competitors keep moving after the strategy is set. The organisation continues running the approach that produced its results, and the results stay acceptable for a while because momentum carries them forward. The Key Result keeps meeting its waypoints while the Success in Practice it serves moves further away.</w:t>
      </w:r>
    </w:p>
    <w:p>
      <w:pPr>
        <w:spacing w:after="120"/>
      </w:pPr>
      <w:r>
        <w:rPr>
          <w:b/>
          <w:bCs/>
        </w:rPr>
        <w:t xml:space="preserve">How it shows:</w:t>
      </w:r>
      <w:r>
        <w:t xml:space="preserve"> waypoints met with growing effort; customers referring to alternatives that did not exist when the strategy was set; win rates and renewals moving slightly in the wrong direction.</w:t>
      </w:r>
    </w:p>
    <w:p>
      <w:pPr>
        <w:pStyle w:val="Heading3"/>
      </w:pPr>
      <w:r>
        <w:t xml:space="preserve">Operational line · Complexity Creep</w:t>
      </w:r>
    </w:p>
    <w:p>
      <w:pPr>
        <w:spacing w:after="120"/>
      </w:pPr>
      <w:r>
        <w:t xml:space="preserve">Every change in regulation, cost or technology brings a structural response: a new approval, a new report, a new process. Each response made sense when it was created. Together they leave the organisation heavier and slower than its current environment requires, and the conditions named in the Contribution Map begin to constrain the people’s tasks.</w:t>
      </w:r>
    </w:p>
    <w:p>
      <w:pPr>
        <w:spacing w:after="120"/>
      </w:pPr>
      <w:r>
        <w:rPr>
          <w:b/>
          <w:bCs/>
        </w:rPr>
        <w:t xml:space="preserve">How it shows:</w:t>
      </w:r>
      <w:r>
        <w:t xml:space="preserve"> approvals and processes no one can explain the current purpose of; manual workarounds; budget structures built for conditions that have since changed.</w:t>
      </w:r>
    </w:p>
    <w:p>
      <w:pPr>
        <w:pStyle w:val="Heading3"/>
      </w:pPr>
      <w:r>
        <w:t xml:space="preserve">Behavioural line · Execution Regression</w:t>
      </w:r>
    </w:p>
    <w:p>
      <w:pPr>
        <w:spacing w:after="120"/>
      </w:pPr>
      <w:r>
        <w:t xml:space="preserve">Every organisation carries habits, norms and assumptions reinforced over years. Once attention moves away from a new practice, these habits pull behaviour back towards the historical pattern. Review cadences loosen, escalation slows and standards return to earlier levels, often without anyone deciding to relax them.</w:t>
      </w:r>
    </w:p>
    <w:p>
      <w:pPr>
        <w:spacing w:after="120"/>
      </w:pPr>
      <w:r>
        <w:rPr>
          <w:b/>
          <w:bCs/>
        </w:rPr>
        <w:t xml:space="preserve">How it shows:</w:t>
      </w:r>
      <w:r>
        <w:t xml:space="preserve"> reviews shortened or postponed; issues carried across several cycles; accountability applied unevenly; agreed behaviours visible only when leaders are watching.</w:t>
      </w:r>
    </w:p>
    <w:p>
      <w:pPr>
        <w:spacing w:after="120"/>
      </w:pPr>
      <w:r>
        <w:t xml:space="preserve">Execution Regression weakens the organisation’s ability to respond on the other two lines, because the routines that detect drift are the first to loosen.</w:t>
      </w:r>
    </w:p>
    <w:p>
      <w:pPr>
        <w:pStyle w:val="Heading2"/>
      </w:pPr>
      <w:r>
        <w:t xml:space="preserve">2.2 — Why KISS Holds Performance</w:t>
      </w:r>
    </w:p>
    <w:p>
      <w:pPr>
        <w:spacing w:after="120"/>
      </w:pPr>
      <w:r>
        <w:t xml:space="preserve">Each KISS decision answers a specific form of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Line of sight</w:t>
            </w:r>
          </w:p>
        </w:tc>
        <w:tc>
          <w:tcPr>
            <w:tcW w:type="dxa" w:w="22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Drift on this line</w:t>
            </w:r>
          </w:p>
        </w:tc>
        <w:tc>
          <w:tcPr>
            <w:tcW w:type="dxa" w:w="4926"/>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KISS decisions that counter it</w:t>
            </w:r>
          </w:p>
        </w:tc>
      </w:tr>
      <w:tr>
        <w:trPr>
          <w:tblHeader w:val="off"/>
        </w:trPr>
        <w:tc>
          <w:tcPr>
            <w:tcW w:type="dxa" w:w="19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Strategic</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Momentum Illusion</w:t>
            </w:r>
          </w:p>
        </w:tc>
        <w:tc>
          <w:tcPr>
            <w:tcW w:type="dxa" w:w="4926"/>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Keep</w:t>
            </w:r>
            <w:r>
              <w:t xml:space="preserve"> what still earns the result in the current market. </w:t>
            </w:r>
            <w:r>
              <w:rPr>
                <w:b/>
                <w:bCs/>
              </w:rPr>
              <w:t xml:space="preserve">Start</w:t>
            </w:r>
            <w:r>
              <w:t xml:space="preserve"> what the moved market now requires.</w:t>
            </w:r>
          </w:p>
        </w:tc>
      </w:tr>
      <w:tr>
        <w:trPr>
          <w:tblHeader w:val="off"/>
        </w:trPr>
        <w:tc>
          <w:tcPr>
            <w:tcW w:type="dxa" w:w="19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Operational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Complexity Creep</w:t>
            </w:r>
          </w:p>
        </w:tc>
        <w:tc>
          <w:tcPr>
            <w:tcW w:type="dxa" w:w="4926"/>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Stop</w:t>
            </w:r>
            <w:r>
              <w:t xml:space="preserve"> structures built for conditions that no longer exist. </w:t>
            </w:r>
            <w:r>
              <w:rPr>
                <w:b/>
                <w:bCs/>
              </w:rPr>
              <w:t xml:space="preserve">Improve</w:t>
            </w:r>
            <w:r>
              <w:t xml:space="preserve"> conditions that are beginning to constrain delivery.</w:t>
            </w:r>
          </w:p>
        </w:tc>
      </w:tr>
      <w:tr>
        <w:trPr>
          <w:tblHeader w:val="off"/>
        </w:trPr>
        <w:tc>
          <w:tcPr>
            <w:tcW w:type="dxa" w:w="19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Behavioural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Execution Regression</w:t>
            </w:r>
          </w:p>
        </w:tc>
        <w:tc>
          <w:tcPr>
            <w:tcW w:type="dxa" w:w="4926"/>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Keep</w:t>
            </w:r>
            <w:r>
              <w:t xml:space="preserve"> the agreed behaviours protected with leadership attention. </w:t>
            </w:r>
            <w:r>
              <w:rPr>
                <w:b/>
                <w:bCs/>
              </w:rPr>
              <w:t xml:space="preserve">Improve</w:t>
            </w:r>
            <w:r>
              <w:t xml:space="preserve"> behaviours that have started to slip.</w:t>
            </w:r>
          </w:p>
        </w:tc>
      </w:tr>
    </w:tbl>
    <w:p>
      <w:pPr>
        <w:spacing w:after="60"/>
      </w:pPr>
    </w:p>
    <w:p>
      <w:pPr>
        <w:spacing w:after="120"/>
      </w:pPr>
      <w:r>
        <w:t xml:space="preserve">A leadership team that reads the three lines each quarter and closes each quarter with its KISS decisions holds performance against all three mechanisms.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F6E6" w:sz="4"/>
              <w:left w:val="single" w:color="C9A227" w:sz="24"/>
              <w:bottom w:val="single" w:color="FBF6E6" w:sz="4"/>
              <w:right w:val="single" w:color="FBF6E6" w:sz="4"/>
            </w:tcBorders>
            <w:shd w:fill="FBF6E6" w:color="auto" w:val="clear"/>
            <w:tcMar>
              <w:top w:type="dxa" w:w="120"/>
              <w:left w:type="dxa" w:w="180"/>
              <w:bottom w:type="dxa" w:w="80"/>
              <w:right w:type="dxa" w:w="180"/>
            </w:tcMar>
          </w:tcPr>
          <w:p>
            <w:pPr>
              <w:spacing w:after="80"/>
            </w:pPr>
            <w:r>
              <w:rPr>
                <w:b/>
                <w:bCs/>
                <w:color w:val="C9A227"/>
              </w:rPr>
              <w:t xml:space="preserve">✎ Participant reflection · 2.2</w:t>
            </w:r>
          </w:p>
          <w:p>
            <w:pPr>
              <w:spacing w:after="120"/>
            </w:pPr>
            <w:r>
              <w:t xml:space="preserve">Name one practice in your organisation that is drifting on one of the three lines. Which KISS decision would hold it, and who would need to make that decision?</w:t>
            </w:r>
          </w:p>
        </w:tc>
      </w:tr>
    </w:tbl>
    <w:p>
      <w:pPr>
        <w:pStyle w:val="Heading1"/>
      </w:pPr>
      <w:r>
        <w:t xml:space="preserve">Section 3 · Extrapolating — Where</w:t>
      </w:r>
    </w:p>
    <w:p>
      <w:pPr>
        <w:spacing w:after="120"/>
      </w:pPr>
      <w:r>
        <w:rPr>
          <w:b/>
          <w:bCs/>
        </w:rPr>
        <w:t xml:space="preserve">Where drift shows first, and where each KISS decision sits</w:t>
      </w:r>
    </w:p>
    <w:p>
      <w:pPr>
        <w:pStyle w:val="Heading3"/>
      </w:pPr>
      <w:r>
        <w:t xml:space="preserve">Section learning outcomes</w:t>
      </w:r>
    </w:p>
    <w:p>
      <w:pPr>
        <w:pStyle w:val="ListParagraph"/>
        <w:numPr>
          <w:ilvl w:val="0"/>
          <w:numId w:val="6"/>
        </w:numPr>
        <w:spacing w:after="60"/>
      </w:pPr>
      <w:r>
        <w:t xml:space="preserve">Locate where drift appears first in each executive domain.</w:t>
      </w:r>
    </w:p>
    <w:p>
      <w:pPr>
        <w:pStyle w:val="ListParagraph"/>
        <w:numPr>
          <w:ilvl w:val="0"/>
          <w:numId w:val="6"/>
        </w:numPr>
        <w:spacing w:after="60"/>
      </w:pPr>
      <w:r>
        <w:t xml:space="preserve">Assign executive ownership for holding performance in each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F6F2" w:sz="4"/>
              <w:left w:val="single" w:color="1A4D2E" w:sz="24"/>
              <w:bottom w:val="single" w:color="F3F6F2" w:sz="4"/>
              <w:right w:val="single" w:color="F3F6F2" w:sz="4"/>
            </w:tcBorders>
            <w:shd w:fill="F3F6F2" w:color="auto" w:val="clear"/>
            <w:tcMar>
              <w:top w:type="dxa" w:w="120"/>
              <w:left w:type="dxa" w:w="180"/>
              <w:bottom w:type="dxa" w:w="80"/>
              <w:right w:type="dxa" w:w="180"/>
            </w:tcMar>
          </w:tcPr>
          <w:p>
            <w:pPr>
              <w:spacing w:after="80"/>
            </w:pPr>
            <w:r>
              <w:rPr>
                <w:b/>
                <w:bCs/>
                <w:color w:val="1A4D2E"/>
              </w:rPr>
              <w:t xml:space="preserve">◆ FACILITATOR GUIDANCE</w:t>
            </w:r>
          </w:p>
          <w:p>
            <w:pPr>
              <w:spacing w:after="120"/>
            </w:pPr>
            <w:r>
              <w:t xml:space="preserve">Teach 3.1 by walking the room through three or four roles represented in the cohort, then invite each participant to find their own role. Point out that each role has a line it reads first and a KISS decision it usually leads.</w:t>
            </w:r>
          </w:p>
          <w:p>
            <w:pPr>
              <w:spacing w:after="120"/>
            </w:pPr>
            <w:r>
              <w:t xml:space="preserve">The participant reflection in 3.1 is individual work. Guide participants to name a signal that is present in their organisation today, beyond what could be present.</w:t>
            </w:r>
          </w:p>
        </w:tc>
      </w:tr>
    </w:tbl>
    <w:p>
      <w:pPr>
        <w:pStyle w:val="Heading2"/>
      </w:pPr>
      <w:r>
        <w:t xml:space="preserve">3.1 — Where Drift Shows First</w:t>
      </w:r>
    </w:p>
    <w:p>
      <w:pPr>
        <w:spacing w:after="120"/>
      </w:pPr>
      <w:r>
        <w:t xml:space="preserve">Drift surfaces first in the executive domain closest to it. Each executive reads one line of sight first and usually leads the KISS decision that answers its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900"/>
        <w:gridCol w:w="2526"/>
      </w:tblGrid>
      <w:tr>
        <w:trPr>
          <w:tblHeader/>
        </w:trPr>
        <w:tc>
          <w:tcPr>
            <w:tcW w:type="dxa" w:w="21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Role · domain</w:t>
            </w:r>
          </w:p>
        </w:tc>
        <w:tc>
          <w:tcPr>
            <w:tcW w:type="dxa" w:w="15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Line it reads first</w:t>
            </w:r>
          </w:p>
        </w:tc>
        <w:tc>
          <w:tcPr>
            <w:tcW w:type="dxa" w:w="29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Where drift shows first</w:t>
            </w:r>
          </w:p>
        </w:tc>
        <w:tc>
          <w:tcPr>
            <w:tcW w:type="dxa" w:w="2526"/>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KISS decision it usually leads</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CEO</w:t>
            </w:r>
            <w:r>
              <w:t xml:space="preserve"> · Strategic Coherence</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Strategic</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Priorities interpreted differently across business units; initiatives multiply without a clear link to the strategy</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Keep the strategic priorities clear; Stop initiatives that compete with them</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CFO</w:t>
            </w:r>
            <w:r>
              <w:t xml:space="preserve"> · Capital Discipline</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Strategic initiatives underfunded while legacy activities stay fully resourced</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Stop legacy spending; Start funding for the strategic initiatives</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COO</w:t>
            </w:r>
            <w:r>
              <w:t xml:space="preserve"> · Execution Cadence</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 and Behavioural</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Reviews shortened or postponed; operational issues carried across several cycles</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Keep the review rhythm; Improve escalation discipline</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CHRO</w:t>
            </w:r>
            <w:r>
              <w:t xml:space="preserve"> · Organisational Health</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Behavioural</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Less willingness to raise problems early; accountability applied unevenly</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Keep the agreed behaviours; Improve how they are recognised and reinforced</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CTO / CIO</w:t>
            </w:r>
            <w:r>
              <w:t xml:space="preserve"> · Technology Enablement</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Teams creating manual workarounds; data systems slowing decisions</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Improve the systems that constrain delivery; Start capability the strategy will need</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CMO</w:t>
            </w:r>
            <w:r>
              <w:t xml:space="preserve"> · Market Intelligence</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Strategic</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Customer insight that reflects who the customer was; competitors responding faster</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Start renewed customer intelligence; Stop campaigns built on the old customer view</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CCO</w:t>
            </w:r>
            <w:r>
              <w:t xml:space="preserve"> · Revenue Conversion</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Strategic and Behavioural</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Pipeline growth without matching revenue; performance explained through external factors alone</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Improve conversion practices; Keep commercial discipline</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CPO</w:t>
            </w:r>
            <w:r>
              <w:t xml:space="preserve"> · Supply Resilience</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Supplier reliability declining; short-term cost decisions over strategic partnerships</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Improve supplier arrangements; Stop cost-only sourcing decisions</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CRO</w:t>
            </w:r>
            <w:r>
              <w:t xml:space="preserve"> · Risk Intelligence</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Strategic</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Stakeholders raising risk questions the governance process does not yet address</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Start risk input into strategic decisions; Improve risk reporting</w:t>
            </w:r>
          </w:p>
        </w:tc>
      </w:tr>
      <w:tr>
        <w:trPr>
          <w:tblHeader w:val="off"/>
        </w:trPr>
        <w:tc>
          <w:tcPr>
            <w:tcW w:type="dxa" w:w="21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CSO</w:t>
            </w:r>
            <w:r>
              <w:t xml:space="preserve"> · Strategy Translation</w:t>
            </w:r>
          </w:p>
        </w:tc>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All three</w:t>
            </w:r>
          </w:p>
        </w:tc>
        <w:tc>
          <w:tcPr>
            <w:tcW w:type="dxa" w:w="2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OKRs drifting from strategic objectives; execution conversations busy and strategically vague</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Keep the line from strategy to OKRs; Improve how the three lines are read in reviews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BF6E6" w:sz="4"/>
              <w:left w:val="single" w:color="C9A227" w:sz="24"/>
              <w:bottom w:val="single" w:color="FBF6E6" w:sz="4"/>
              <w:right w:val="single" w:color="FBF6E6" w:sz="4"/>
            </w:tcBorders>
            <w:shd w:fill="FBF6E6" w:color="auto" w:val="clear"/>
            <w:tcMar>
              <w:top w:type="dxa" w:w="120"/>
              <w:left w:type="dxa" w:w="180"/>
              <w:bottom w:type="dxa" w:w="80"/>
              <w:right w:type="dxa" w:w="180"/>
            </w:tcMar>
          </w:tcPr>
          <w:p>
            <w:pPr>
              <w:spacing w:after="80"/>
            </w:pPr>
            <w:r>
              <w:rPr>
                <w:b/>
                <w:bCs/>
                <w:color w:val="C9A227"/>
              </w:rPr>
              <w:t xml:space="preserve">✎ Participant reflection · 3.1 (Learning Portfolio)</w:t>
            </w:r>
          </w:p>
          <w:p>
            <w:pPr>
              <w:spacing w:after="120"/>
            </w:pPr>
            <w:r>
              <w:t xml:space="preserve">Fields for the participant: </w:t>
            </w:r>
            <w:r>
              <w:rPr>
                <w:b/>
                <w:bCs/>
              </w:rPr>
              <w:t xml:space="preserve">My role · The line of sight I read first · The drift signal present in my organisation today · The KISS decision I would lead.</w:t>
            </w:r>
          </w:p>
        </w:tc>
      </w:tr>
    </w:tbl>
    <w:p>
      <w:pPr>
        <w:pStyle w:val="Heading1"/>
      </w:pPr>
      <w:r>
        <w:t xml:space="preserve">Section 4 · Integration — Collective</w:t>
      </w:r>
    </w:p>
    <w:p>
      <w:pPr>
        <w:spacing w:after="120"/>
      </w:pPr>
      <w:r>
        <w:rPr>
          <w:b/>
          <w:bCs/>
        </w:rPr>
        <w:t xml:space="preserve">The Quarterly Three Lines of Sight</w:t>
      </w:r>
    </w:p>
    <w:p>
      <w:pPr>
        <w:pStyle w:val="Heading3"/>
      </w:pPr>
      <w:r>
        <w:t xml:space="preserve">Section learning outcomes</w:t>
      </w:r>
    </w:p>
    <w:p>
      <w:pPr>
        <w:pStyle w:val="ListParagraph"/>
        <w:numPr>
          <w:ilvl w:val="0"/>
          <w:numId w:val="7"/>
        </w:numPr>
        <w:spacing w:after="60"/>
      </w:pPr>
      <w:r>
        <w:t xml:space="preserve">Establish a collective leadership rhythm that sustains performance across every contribution.</w:t>
      </w:r>
    </w:p>
    <w:p>
      <w:pPr>
        <w:pStyle w:val="ListParagraph"/>
        <w:numPr>
          <w:ilvl w:val="0"/>
          <w:numId w:val="7"/>
        </w:numPr>
        <w:spacing w:after="60"/>
      </w:pPr>
      <w:r>
        <w:t xml:space="preserve">Coordinate the enterprise response to drift before it reaches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F6F2" w:sz="4"/>
              <w:left w:val="single" w:color="1A4D2E" w:sz="24"/>
              <w:bottom w:val="single" w:color="F3F6F2" w:sz="4"/>
              <w:right w:val="single" w:color="F3F6F2" w:sz="4"/>
            </w:tcBorders>
            <w:shd w:fill="F3F6F2" w:color="auto" w:val="clear"/>
            <w:tcMar>
              <w:top w:type="dxa" w:w="120"/>
              <w:left w:type="dxa" w:w="180"/>
              <w:bottom w:type="dxa" w:w="80"/>
              <w:right w:type="dxa" w:w="180"/>
            </w:tcMar>
          </w:tcPr>
          <w:p>
            <w:pPr>
              <w:spacing w:after="80"/>
            </w:pPr>
            <w:r>
              <w:rPr>
                <w:b/>
                <w:bCs/>
                <w:color w:val="1A4D2E"/>
              </w:rPr>
              <w:t xml:space="preserve">◆ FACILITATOR GUIDANCE</w:t>
            </w:r>
          </w:p>
          <w:p>
            <w:pPr>
              <w:spacing w:after="120"/>
            </w:pPr>
            <w:r>
              <w:t xml:space="preserve">Teach 4.1 by walking through the page from top to bottom: the three lines, the WARD filter on each, then KISS at the foot. Point out that every entry on the page is a result the leadership team already produces.</w:t>
            </w:r>
          </w:p>
          <w:p>
            <w:pPr>
              <w:spacing w:after="120"/>
            </w:pPr>
            <w:r>
              <w:t xml:space="preserve">Walk through 4.2 one line at a time. For each line, show the result first and let the room decide whether the alert is raised before showing the recovery. Then build the KISS decisions together from the three lines.</w:t>
            </w:r>
          </w:p>
          <w:p>
            <w:pPr>
              <w:spacing w:after="120"/>
            </w:pPr>
            <w:r>
              <w:t xml:space="preserve">Point out that every figure in 4.2 comes from the worked examples of earlier units: the Key Result and WARD from Units 6 and 8, the ESRG scan from Unit 10, the Health Thermometer from Unit 11 and the clogs from Unit 9.</w:t>
            </w:r>
          </w:p>
        </w:tc>
      </w:tr>
    </w:tbl>
    <w:p>
      <w:pPr>
        <w:pStyle w:val="Heading2"/>
      </w:pPr>
      <w:r>
        <w:t xml:space="preserve">4.1 — The Quarterly Three Lines of Sight Page</w:t>
      </w:r>
    </w:p>
    <w:p>
      <w:pPr>
        <w:spacing w:after="120"/>
      </w:pPr>
      <w:r>
        <w:t xml:space="preserve">Each quarter the leadership team completes one page for each enterprise Key Result. The page brings the three lines together, filters each through WARD and closes with the KISS decisions for the next 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Part of the page</w:t>
            </w:r>
          </w:p>
        </w:tc>
        <w:tc>
          <w:tcPr>
            <w:tcW w:type="dxa" w:w="6426"/>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What the leadership team enters</w:t>
            </w:r>
          </w:p>
        </w:tc>
      </w:tr>
      <w:tr>
        <w:trPr>
          <w:tblHeader w:val="off"/>
        </w:trPr>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Header</w:t>
            </w:r>
          </w:p>
        </w:tc>
        <w:tc>
          <w:tcPr>
            <w:tcW w:type="dxa" w:w="64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Enterprise Key Result · Quarter · Decider</w:t>
            </w:r>
          </w:p>
        </w:tc>
      </w:tr>
      <w:tr>
        <w:trPr>
          <w:tblHeader w:val="off"/>
        </w:trPr>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Each line of sight</w:t>
            </w:r>
          </w:p>
        </w:tc>
        <w:tc>
          <w:tcPr>
            <w:tcW w:type="dxa" w:w="64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result this quarter · The waypoint · The alert · Alert raised (yes or no) · The recovery and its owner · When the Decider checks it</w:t>
            </w:r>
          </w:p>
        </w:tc>
      </w:tr>
      <w:tr>
        <w:trPr>
          <w:tblHeader w:val="off"/>
        </w:trPr>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KISS for next quarter</w:t>
            </w:r>
          </w:p>
        </w:tc>
        <w:tc>
          <w:tcPr>
            <w:tcW w:type="dxa" w:w="64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Keep · Improve · Stop · Start — each with the practice, the line of sight it comes from and its owner</w:t>
            </w:r>
          </w:p>
        </w:tc>
      </w:tr>
    </w:tbl>
    <w:p>
      <w:pPr>
        <w:spacing w:after="60"/>
      </w:pPr>
    </w:p>
    <w:p>
      <w:pPr>
        <w:spacing w:after="120"/>
      </w:pPr>
      <w:r>
        <w:t xml:space="preserve">Over four quarters, the pages show whether each line is holding, recovering or drifting, and whether the KISS decisions made at each quarter close moved the next quarter’s results.</w:t>
      </w:r>
    </w:p>
    <w:p>
      <w:pPr>
        <w:pStyle w:val="Heading2"/>
      </w:pPr>
      <w:r>
        <w:t xml:space="preserve">4.2 — Worked Example: Quarter 2, Customer Service</w:t>
      </w:r>
    </w:p>
    <w:p>
      <w:pPr>
        <w:spacing w:after="120"/>
      </w:pPr>
      <w:r>
        <w:t xml:space="preserve">Every figure below comes from the worked examples in earlier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Pr>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Enterprise Key Result</w:t>
            </w:r>
          </w:p>
        </w:tc>
        <w:tc>
          <w:tcPr>
            <w:tcW w:type="dxa" w:w="64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Increase customer enquiries resolved within 48 hours from 65% to 90% by year-end.</w:t>
            </w:r>
          </w:p>
        </w:tc>
      </w:tr>
      <w:tr>
        <w:trPr>
          <w:tblHeader w:val="off"/>
        </w:trPr>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Quarter</w:t>
            </w:r>
          </w:p>
        </w:tc>
        <w:tc>
          <w:tcPr>
            <w:tcW w:type="dxa" w:w="64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Quarter 2 (April to June)</w:t>
            </w:r>
          </w:p>
        </w:tc>
      </w:tr>
      <w:tr>
        <w:trPr>
          <w:tblHeader w:val="off"/>
        </w:trPr>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Decider</w:t>
            </w:r>
          </w:p>
        </w:tc>
        <w:tc>
          <w:tcPr>
            <w:tcW w:type="dxa" w:w="64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Customer Service Executive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526"/>
      </w:tblGrid>
      <w:tr>
        <w:trPr>
          <w:tblHeader/>
        </w:trPr>
        <w:tc>
          <w:tcPr>
            <w:tcW w:type="dxa" w:w="15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WARD</w:t>
            </w:r>
          </w:p>
        </w:tc>
        <w:tc>
          <w:tcPr>
            <w:tcW w:type="dxa" w:w="23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Strategic · Key Result</w:t>
            </w:r>
          </w:p>
        </w:tc>
        <w:tc>
          <w:tcPr>
            <w:tcW w:type="dxa" w:w="27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Operational · ESRG scan (Customer Service)</w:t>
            </w:r>
          </w:p>
        </w:tc>
        <w:tc>
          <w:tcPr>
            <w:tcW w:type="dxa" w:w="2526"/>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Behavioural · Health Thermometer (Operations)</w:t>
            </w:r>
          </w:p>
        </w:tc>
      </w:tr>
      <w:tr>
        <w:trPr>
          <w:tblHeader w:val="off"/>
        </w:trPr>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Result this quarter</w:t>
            </w:r>
          </w:p>
        </w:tc>
        <w:tc>
          <w:tcPr>
            <w:tcW w:type="dxa" w:w="23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74% resolved within 48 hours</w:t>
            </w:r>
          </w:p>
        </w:tc>
        <w:tc>
          <w:tcPr>
            <w:tcW w:type="dxa" w:w="27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 Readiness 4.3 · Operational Flow 2.0 · Delivery Capacity 4.0 · Decision Responsiveness 3.7</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52/100 (Quarter 1: 80/100). Minimal Politics 8 and High Morale 8 show the largest declines</w:t>
            </w:r>
          </w:p>
        </w:tc>
      </w:tr>
      <w:tr>
        <w:trPr>
          <w:tblHeader w:val="off"/>
        </w:trPr>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W · Waypoint</w:t>
            </w:r>
          </w:p>
        </w:tc>
        <w:tc>
          <w:tcPr>
            <w:tcW w:type="dxa" w:w="23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80% by the end of June</w:t>
            </w:r>
          </w:p>
        </w:tc>
        <w:tc>
          <w:tcPr>
            <w:tcW w:type="dxa" w:w="27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Each capability at 4.0 or above</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80/100 or above</w:t>
            </w:r>
          </w:p>
        </w:tc>
      </w:tr>
      <w:tr>
        <w:trPr>
          <w:tblHeader w:val="off"/>
        </w:trPr>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A · Alert</w:t>
            </w:r>
          </w:p>
        </w:tc>
        <w:tc>
          <w:tcPr>
            <w:tcW w:type="dxa" w:w="23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More than three points below the waypoint</w:t>
            </w:r>
          </w:p>
        </w:tc>
        <w:tc>
          <w:tcPr>
            <w:tcW w:type="dxa" w:w="27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Any capability below 3.0</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Below 60/100</w:t>
            </w:r>
          </w:p>
        </w:tc>
      </w:tr>
      <w:tr>
        <w:trPr>
          <w:tblHeader w:val="off"/>
        </w:trPr>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Alert raised</w:t>
            </w:r>
          </w:p>
        </w:tc>
        <w:tc>
          <w:tcPr>
            <w:tcW w:type="dxa" w:w="23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Yes · six points below</w:t>
            </w:r>
          </w:p>
        </w:tc>
        <w:tc>
          <w:tcPr>
            <w:tcW w:type="dxa" w:w="27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Yes · Operational Flow at 2.0</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Yes · Caution Zone</w:t>
            </w:r>
          </w:p>
        </w:tc>
      </w:tr>
      <w:tr>
        <w:trPr>
          <w:tblHeader w:val="off"/>
        </w:trPr>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R · Recovery</w:t>
            </w:r>
          </w:p>
        </w:tc>
        <w:tc>
          <w:tcPr>
            <w:tcW w:type="dxa" w:w="23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Team leaders review open enquiries with each owner every morning</w:t>
            </w:r>
          </w:p>
        </w:tc>
        <w:tc>
          <w:tcPr>
            <w:tcW w:type="dxa" w:w="27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IT restores system availability from 96% to 99% within four weeks. Customer Service and Operations examine Standardisation, Integration and Process Efficiency behind Operational Flow</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COO strengthens collaboration, trust and commitment in Operations</w:t>
            </w:r>
          </w:p>
        </w:tc>
      </w:tr>
      <w:tr>
        <w:trPr>
          <w:tblHeader w:val="off"/>
        </w:trPr>
        <w:tc>
          <w:tcPr>
            <w:tcW w:type="dxa" w:w="15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D · Decider checks</w:t>
            </w:r>
          </w:p>
        </w:tc>
        <w:tc>
          <w:tcPr>
            <w:tcW w:type="dxa" w:w="23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End of July</w:t>
            </w:r>
          </w:p>
        </w:tc>
        <w:tc>
          <w:tcPr>
            <w:tcW w:type="dxa" w:w="27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End of July</w:t>
            </w:r>
          </w:p>
        </w:tc>
        <w:tc>
          <w:tcPr>
            <w:tcW w:type="dxa" w:w="2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Next thermometer, Quarter 3</w:t>
            </w:r>
          </w:p>
        </w:tc>
      </w:tr>
    </w:tbl>
    <w:p>
      <w:pPr>
        <w:spacing w:after="60"/>
      </w:pPr>
    </w:p>
    <w:p>
      <w:pPr>
        <w:spacing w:after="120"/>
      </w:pPr>
      <w:r>
        <w:rPr>
          <w:b/>
          <w:bCs/>
        </w:rPr>
        <w:t xml:space="preserve">Sources:</w:t>
      </w:r>
      <w:r>
        <w:t xml:space="preserve"> Key Result, waypoint, alert, June result and recovery: Units 6 and 8. ESRG profile: Unit 10, 2.4. Health scores: Unit 11, 4.3. Clogs behind the KISS decisions: Unit 9, 1.5.</w:t>
      </w:r>
    </w:p>
    <w:p>
      <w:pPr>
        <w:pStyle w:val="Heading3"/>
      </w:pPr>
      <w:r>
        <w:t xml:space="preserve">KISS for Quarter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26"/>
        <w:gridCol w:w="1600"/>
        <w:gridCol w:w="2200"/>
      </w:tblGrid>
      <w:tr>
        <w:trPr>
          <w:tblHeader/>
        </w:trPr>
        <w:tc>
          <w:tcPr>
            <w:tcW w:type="dxa" w:w="12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Decision</w:t>
            </w:r>
          </w:p>
        </w:tc>
        <w:tc>
          <w:tcPr>
            <w:tcW w:type="dxa" w:w="4026"/>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Practice</w:t>
            </w:r>
          </w:p>
        </w:tc>
        <w:tc>
          <w:tcPr>
            <w:tcW w:type="dxa" w:w="16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Line of sight</w:t>
            </w:r>
          </w:p>
        </w:tc>
        <w:tc>
          <w:tcPr>
            <w:tcW w:type="dxa" w:w="22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Owner</w:t>
            </w:r>
          </w:p>
        </w:tc>
      </w:tr>
      <w:tr>
        <w:trPr>
          <w:tblHeader w:val="off"/>
        </w:trPr>
        <w:tc>
          <w:tcPr>
            <w:tcW w:type="dxa" w:w="12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Keep</w:t>
            </w:r>
          </w:p>
        </w:tc>
        <w:tc>
          <w:tcPr>
            <w:tcW w:type="dxa" w:w="40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morning review of open enquiries with each owner</w:t>
            </w:r>
          </w:p>
        </w:tc>
        <w:tc>
          <w:tcPr>
            <w:tcW w:type="dxa" w:w="1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Behavioural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Customer Service team leaders</w:t>
            </w:r>
          </w:p>
        </w:tc>
      </w:tr>
      <w:tr>
        <w:trPr>
          <w:tblHeader w:val="off"/>
        </w:trPr>
        <w:tc>
          <w:tcPr>
            <w:tcW w:type="dxa" w:w="12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Keep</w:t>
            </w:r>
          </w:p>
        </w:tc>
        <w:tc>
          <w:tcPr>
            <w:tcW w:type="dxa" w:w="40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conditions behind Operational Readiness (4.3) and Delivery Capacity (4.0)</w:t>
            </w:r>
          </w:p>
        </w:tc>
        <w:tc>
          <w:tcPr>
            <w:tcW w:type="dxa" w:w="1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IT and Operations</w:t>
            </w:r>
          </w:p>
        </w:tc>
      </w:tr>
      <w:tr>
        <w:trPr>
          <w:tblHeader w:val="off"/>
        </w:trPr>
        <w:tc>
          <w:tcPr>
            <w:tcW w:type="dxa" w:w="12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Improve</w:t>
            </w:r>
          </w:p>
        </w:tc>
        <w:tc>
          <w:tcPr>
            <w:tcW w:type="dxa" w:w="40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Cross-functional handoffs, since 40% of delayed cases require another department</w:t>
            </w:r>
          </w:p>
        </w:tc>
        <w:tc>
          <w:tcPr>
            <w:tcW w:type="dxa" w:w="1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Customer Service with Operations</w:t>
            </w:r>
          </w:p>
        </w:tc>
      </w:tr>
      <w:tr>
        <w:trPr>
          <w:tblHeader w:val="off"/>
        </w:trPr>
        <w:tc>
          <w:tcPr>
            <w:tcW w:type="dxa" w:w="12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Improve</w:t>
            </w:r>
          </w:p>
        </w:tc>
        <w:tc>
          <w:tcPr>
            <w:tcW w:type="dxa" w:w="40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Collaboration and morale in Operations, the two weakest health traits</w:t>
            </w:r>
          </w:p>
        </w:tc>
        <w:tc>
          <w:tcPr>
            <w:tcW w:type="dxa" w:w="1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Behavioural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COO</w:t>
            </w:r>
          </w:p>
        </w:tc>
      </w:tr>
      <w:tr>
        <w:trPr>
          <w:tblHeader w:val="off"/>
        </w:trPr>
        <w:tc>
          <w:tcPr>
            <w:tcW w:type="dxa" w:w="12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Stop</w:t>
            </w:r>
          </w:p>
        </w:tc>
        <w:tc>
          <w:tcPr>
            <w:tcW w:type="dxa" w:w="40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Senior-management approval of routine refunds</w:t>
            </w:r>
          </w:p>
        </w:tc>
        <w:tc>
          <w:tcPr>
            <w:tcW w:type="dxa" w:w="1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Operations</w:t>
            </w:r>
          </w:p>
        </w:tc>
      </w:tr>
      <w:tr>
        <w:trPr>
          <w:tblHeader w:val="off"/>
        </w:trPr>
        <w:tc>
          <w:tcPr>
            <w:tcW w:type="dxa" w:w="12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Stop</w:t>
            </w:r>
          </w:p>
        </w:tc>
        <w:tc>
          <w:tcPr>
            <w:tcW w:type="dxa" w:w="40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Scorecards that count enquiries processed in place of enquiries resolved</w:t>
            </w:r>
          </w:p>
        </w:tc>
        <w:tc>
          <w:tcPr>
            <w:tcW w:type="dxa" w:w="1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Behavioural</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Customer Service Executive</w:t>
            </w:r>
          </w:p>
        </w:tc>
      </w:tr>
      <w:tr>
        <w:trPr>
          <w:tblHeader w:val="off"/>
        </w:trPr>
        <w:tc>
          <w:tcPr>
            <w:tcW w:type="dxa" w:w="1200"/>
            <w:tcBorders>
              <w:top w:val="single" w:color="BFC8BC" w:sz="4"/>
              <w:left w:val="single" w:color="BFC8BC" w:sz="4"/>
              <w:bottom w:val="single" w:color="BFC8BC" w:sz="4"/>
              <w:right w:val="single" w:color="BFC8BC" w:sz="4"/>
            </w:tcBorders>
            <w:tcMar>
              <w:top w:type="dxa" w:w="80"/>
              <w:left w:type="dxa" w:w="120"/>
              <w:bottom w:type="dxa" w:w="80"/>
              <w:right w:type="dxa" w:w="120"/>
            </w:tcMar>
          </w:tcPr>
          <w:p>
            <w:r>
              <w:rPr>
                <w:b/>
                <w:bCs/>
              </w:rPr>
              <w:t xml:space="preserve">Start</w:t>
            </w:r>
          </w:p>
        </w:tc>
        <w:tc>
          <w:tcPr>
            <w:tcW w:type="dxa" w:w="40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Case tracking after escalation, so staff can follow each case through to resolution</w:t>
            </w:r>
          </w:p>
        </w:tc>
        <w:tc>
          <w:tcPr>
            <w:tcW w:type="dxa" w:w="1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Strategic</w:t>
            </w:r>
          </w:p>
        </w:tc>
        <w:tc>
          <w:tcPr>
            <w:tcW w:type="dxa" w:w="22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IT with Customer Service</w:t>
            </w:r>
          </w:p>
        </w:tc>
      </w:tr>
    </w:tbl>
    <w:p>
      <w:pPr>
        <w:spacing w:after="60"/>
      </w:pPr>
    </w:p>
    <w:p>
      <w:pPr>
        <w:pStyle w:val="Heading1"/>
      </w:pPr>
      <w:r>
        <w:t xml:space="preserve">Section 5 · Application — In Practice</w:t>
      </w:r>
    </w:p>
    <w:p>
      <w:pPr>
        <w:spacing w:after="120"/>
      </w:pPr>
      <w:r>
        <w:rPr>
          <w:b/>
          <w:bCs/>
        </w:rPr>
        <w:t xml:space="preserve">Our Quarterly Three Lines of Sight</w:t>
      </w:r>
    </w:p>
    <w:p>
      <w:pPr>
        <w:pStyle w:val="Heading3"/>
      </w:pPr>
      <w:r>
        <w:t xml:space="preserve">Section learning outcomes</w:t>
      </w:r>
    </w:p>
    <w:p>
      <w:pPr>
        <w:pStyle w:val="ListParagraph"/>
        <w:numPr>
          <w:ilvl w:val="0"/>
          <w:numId w:val="8"/>
        </w:numPr>
        <w:spacing w:after="60"/>
      </w:pPr>
      <w:r>
        <w:t xml:space="preserve">Exercise forward-looking judgement that holds performance gains across people and organisation.</w:t>
      </w:r>
    </w:p>
    <w:p>
      <w:pPr>
        <w:pStyle w:val="ListParagraph"/>
        <w:numPr>
          <w:ilvl w:val="0"/>
          <w:numId w:val="8"/>
        </w:numPr>
        <w:spacing w:after="60"/>
      </w:pPr>
      <w:r>
        <w:t xml:space="preserve">Design a leadership rhythm that sustains the enterprise result quarter after 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F6F2" w:sz="4"/>
              <w:left w:val="single" w:color="1A4D2E" w:sz="24"/>
              <w:bottom w:val="single" w:color="F3F6F2" w:sz="4"/>
              <w:right w:val="single" w:color="F3F6F2" w:sz="4"/>
            </w:tcBorders>
            <w:shd w:fill="F3F6F2" w:color="auto" w:val="clear"/>
            <w:tcMar>
              <w:top w:type="dxa" w:w="120"/>
              <w:left w:type="dxa" w:w="180"/>
              <w:bottom w:type="dxa" w:w="80"/>
              <w:right w:type="dxa" w:w="180"/>
            </w:tcMar>
          </w:tcPr>
          <w:p>
            <w:pPr>
              <w:spacing w:after="80"/>
            </w:pPr>
            <w:r>
              <w:rPr>
                <w:b/>
                <w:bCs/>
                <w:color w:val="1A4D2E"/>
              </w:rPr>
              <w:t xml:space="preserve">◆ FACILITATOR GUIDANCE</w:t>
            </w:r>
          </w:p>
          <w:p>
            <w:pPr>
              <w:spacing w:after="120"/>
            </w:pPr>
            <w:r>
              <w:t xml:space="preserve">This is group work and Capstone work. Each group chooses its scribe for this exercise. Every member agrees the record before it goes to the Capstone S2R Blueprint.</w:t>
            </w:r>
          </w:p>
          <w:p>
            <w:pPr>
              <w:spacing w:after="120"/>
            </w:pPr>
            <w:r>
              <w:t xml:space="preserve">Direct the groups to the results the portal brings into the page: their WARD from Unit 6, their ESRG scan from Unit 10 and their consolidated health position from Unit 11.</w:t>
            </w:r>
          </w:p>
          <w:p>
            <w:pPr>
              <w:spacing w:after="120"/>
            </w:pPr>
            <w:r>
              <w:t xml:space="preserve">Guide the groups to complete the page in order: the result on each line, the WARD filter, the recovery, and then the KISS decisions drawn from the three lines.</w:t>
            </w:r>
          </w:p>
        </w:tc>
      </w:tr>
    </w:tbl>
    <w:p>
      <w:pPr>
        <w:pStyle w:val="Heading2"/>
      </w:pPr>
      <w:r>
        <w:t xml:space="preserve">5.1 — Our Quarterly Three Lines of Sight</w:t>
      </w:r>
    </w:p>
    <w:p>
      <w:pPr>
        <w:spacing w:after="120"/>
      </w:pPr>
      <w:r>
        <w:t xml:space="preserve">Your group completes the Quarterly Three Lines of Sight page for the enterprise Key Result in your Capstone S2R Blueprint. Use the worked example in 4.2 as your reference.</w:t>
      </w:r>
    </w:p>
    <w:p>
      <w:pPr>
        <w:spacing w:after="120"/>
      </w:pPr>
      <w:r>
        <w:rPr>
          <w:b/>
          <w:bCs/>
        </w:rPr>
        <w:t xml:space="preserve">Order on the page:</w:t>
      </w:r>
      <w:r>
        <w:t xml:space="preserve"> the 4.2 worked example reference, then the group record bar, then the exercise.</w:t>
      </w:r>
    </w:p>
    <w:p>
      <w:pPr>
        <w:pStyle w:val="Heading3"/>
      </w:pPr>
      <w:r>
        <w:t xml:space="preserve">Brought into the page from earlier units</w:t>
      </w:r>
    </w:p>
    <w:p>
      <w:pPr>
        <w:pStyle w:val="ListParagraph"/>
        <w:numPr>
          <w:ilvl w:val="0"/>
          <w:numId w:val="3"/>
        </w:numPr>
        <w:spacing w:after="60"/>
      </w:pPr>
      <w:r>
        <w:t xml:space="preserve">The enterprise Key Result and its WARD — Unit 6, Section 5</w:t>
      </w:r>
    </w:p>
    <w:p>
      <w:pPr>
        <w:pStyle w:val="ListParagraph"/>
        <w:numPr>
          <w:ilvl w:val="0"/>
          <w:numId w:val="3"/>
        </w:numPr>
        <w:spacing w:after="60"/>
      </w:pPr>
      <w:r>
        <w:t xml:space="preserve">The ESRG scan — Unit 10 Capstone (10A)</w:t>
      </w:r>
    </w:p>
    <w:p>
      <w:pPr>
        <w:pStyle w:val="ListParagraph"/>
        <w:numPr>
          <w:ilvl w:val="0"/>
          <w:numId w:val="3"/>
        </w:numPr>
        <w:spacing w:after="60"/>
      </w:pPr>
      <w:r>
        <w:t xml:space="preserve">The consolidated health position — Unit 11 Capstone (11B)</w:t>
      </w:r>
    </w:p>
    <w:p>
      <w:pPr>
        <w:pStyle w:val="Heading3"/>
      </w:pPr>
      <w:r>
        <w:t xml:space="preserve">Exercise fields</w:t>
      </w:r>
    </w:p>
    <w:p>
      <w:pPr>
        <w:pStyle w:val="ListParagraph"/>
        <w:numPr>
          <w:ilvl w:val="0"/>
          <w:numId w:val="9"/>
        </w:numPr>
        <w:spacing w:after="60"/>
      </w:pPr>
      <w:r>
        <w:rPr>
          <w:b/>
          <w:bCs/>
        </w:rPr>
        <w:t xml:space="preserve">Header</w:t>
      </w:r>
      <w:r>
        <w:t xml:space="preserve"> — the quarter. The Key Result and the Decider are brought in.</w:t>
      </w:r>
    </w:p>
    <w:p>
      <w:pPr>
        <w:pStyle w:val="ListParagraph"/>
        <w:numPr>
          <w:ilvl w:val="0"/>
          <w:numId w:val="9"/>
        </w:numPr>
        <w:spacing w:after="60"/>
      </w:pPr>
      <w:r>
        <w:rPr>
          <w:b/>
          <w:bCs/>
        </w:rPr>
        <w:t xml:space="preserve">Strategic line</w:t>
      </w:r>
      <w:r>
        <w:t xml:space="preserve"> — the Key Result result this quarter, the waypoint and alert (brought in), alert raised, the recovery and when the Decider checks it.</w:t>
      </w:r>
    </w:p>
    <w:p>
      <w:pPr>
        <w:pStyle w:val="ListParagraph"/>
        <w:numPr>
          <w:ilvl w:val="0"/>
          <w:numId w:val="9"/>
        </w:numPr>
        <w:spacing w:after="60"/>
      </w:pPr>
      <w:r>
        <w:rPr>
          <w:b/>
          <w:bCs/>
        </w:rPr>
        <w:t xml:space="preserve">Operational line</w:t>
      </w:r>
      <w:r>
        <w:t xml:space="preserve"> — the lowest ESRG capability and its score (brought in), alert raised, the recovery, its owner and when it is checked.</w:t>
      </w:r>
    </w:p>
    <w:p>
      <w:pPr>
        <w:pStyle w:val="ListParagraph"/>
        <w:numPr>
          <w:ilvl w:val="0"/>
          <w:numId w:val="9"/>
        </w:numPr>
        <w:spacing w:after="60"/>
      </w:pPr>
      <w:r>
        <w:rPr>
          <w:b/>
          <w:bCs/>
        </w:rPr>
        <w:t xml:space="preserve">Behavioural line</w:t>
      </w:r>
      <w:r>
        <w:t xml:space="preserve"> — the health score and the two weakest traits (brought in), alert raised, the recovery, its owner and when it is checked.</w:t>
      </w:r>
    </w:p>
    <w:p>
      <w:pPr>
        <w:pStyle w:val="ListParagraph"/>
        <w:numPr>
          <w:ilvl w:val="0"/>
          <w:numId w:val="9"/>
        </w:numPr>
        <w:spacing w:after="60"/>
      </w:pPr>
      <w:r>
        <w:rPr>
          <w:b/>
          <w:bCs/>
        </w:rPr>
        <w:t xml:space="preserve">KISS for next quarter</w:t>
      </w:r>
      <w:r>
        <w:t xml:space="preserve"> — Keep, Improve, Stop and Start, each with the practice, the line of sight it comes from and its owner.</w:t>
      </w:r>
    </w:p>
    <w:p>
      <w:pPr>
        <w:pStyle w:val="Heading3"/>
      </w:pPr>
      <w:r>
        <w:t xml:space="preserve">Capstone S2R Blueprint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Item</w:t>
            </w:r>
          </w:p>
        </w:tc>
        <w:tc>
          <w:tcPr>
            <w:tcW w:type="dxa" w:w="2600"/>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Title</w:t>
            </w:r>
          </w:p>
        </w:tc>
        <w:tc>
          <w:tcPr>
            <w:tcW w:type="dxa" w:w="5526"/>
            <w:tcBorders>
              <w:top w:val="single" w:color="BFC8BC" w:sz="4"/>
              <w:left w:val="single" w:color="BFC8BC" w:sz="4"/>
              <w:bottom w:val="single" w:color="BFC8BC" w:sz="4"/>
              <w:right w:val="single" w:color="BFC8BC" w:sz="4"/>
            </w:tcBorders>
            <w:shd w:fill="1A4D2E" w:color="auto" w:val="clear"/>
            <w:tcMar>
              <w:top w:type="dxa" w:w="80"/>
              <w:left w:type="dxa" w:w="120"/>
              <w:bottom w:type="dxa" w:w="80"/>
              <w:right w:type="dxa" w:w="120"/>
            </w:tcMar>
          </w:tcPr>
          <w:p>
            <w:r>
              <w:rPr>
                <w:b/>
                <w:bCs/>
                <w:color w:val="FFFFFF"/>
              </w:rPr>
              <w:t xml:space="preserve">Content</w:t>
            </w:r>
          </w:p>
        </w:tc>
      </w:tr>
      <w:tr>
        <w:trPr>
          <w:tblHeader w:val="off"/>
        </w:trPr>
        <w:tc>
          <w:tcPr>
            <w:tcW w:type="dxa" w:w="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12A</w:t>
            </w:r>
          </w:p>
        </w:tc>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Strategic line</w:t>
            </w:r>
          </w:p>
        </w:tc>
        <w:tc>
          <w:tcPr>
            <w:tcW w:type="dxa" w:w="5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Key Result result, WARD filter and recovery for the quarter.</w:t>
            </w:r>
          </w:p>
        </w:tc>
      </w:tr>
      <w:tr>
        <w:trPr>
          <w:tblHeader w:val="off"/>
        </w:trPr>
        <w:tc>
          <w:tcPr>
            <w:tcW w:type="dxa" w:w="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12B</w:t>
            </w:r>
          </w:p>
        </w:tc>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Operational line</w:t>
            </w:r>
          </w:p>
        </w:tc>
        <w:tc>
          <w:tcPr>
            <w:tcW w:type="dxa" w:w="5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ESRG reading, WARD filter and recovery for the quarter.</w:t>
            </w:r>
          </w:p>
        </w:tc>
      </w:tr>
      <w:tr>
        <w:trPr>
          <w:tblHeader w:val="off"/>
        </w:trPr>
        <w:tc>
          <w:tcPr>
            <w:tcW w:type="dxa" w:w="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12C</w:t>
            </w:r>
          </w:p>
        </w:tc>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Behavioural line</w:t>
            </w:r>
          </w:p>
        </w:tc>
        <w:tc>
          <w:tcPr>
            <w:tcW w:type="dxa" w:w="5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health reading, WARD filter and recovery for the quarter.</w:t>
            </w:r>
          </w:p>
        </w:tc>
      </w:tr>
      <w:tr>
        <w:trPr>
          <w:tblHeader w:val="off"/>
        </w:trPr>
        <w:tc>
          <w:tcPr>
            <w:tcW w:type="dxa" w:w="9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12D</w:t>
            </w:r>
          </w:p>
        </w:tc>
        <w:tc>
          <w:tcPr>
            <w:tcW w:type="dxa" w:w="2600"/>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KISS for next quarter</w:t>
            </w:r>
          </w:p>
        </w:tc>
        <w:tc>
          <w:tcPr>
            <w:tcW w:type="dxa" w:w="5526"/>
            <w:tcBorders>
              <w:top w:val="single" w:color="BFC8BC" w:sz="4"/>
              <w:left w:val="single" w:color="BFC8BC" w:sz="4"/>
              <w:bottom w:val="single" w:color="BFC8BC" w:sz="4"/>
              <w:right w:val="single" w:color="BFC8BC" w:sz="4"/>
            </w:tcBorders>
            <w:tcMar>
              <w:top w:type="dxa" w:w="80"/>
              <w:left w:type="dxa" w:w="120"/>
              <w:bottom w:type="dxa" w:w="80"/>
              <w:right w:type="dxa" w:w="120"/>
            </w:tcMar>
          </w:tcPr>
          <w:p>
            <w:r>
              <w:t xml:space="preserve">The Keep, Improve, Stop and Start decisions, with practice, line of sight and owner.</w:t>
            </w:r>
          </w:p>
        </w:tc>
      </w:tr>
    </w:tbl>
    <w:p>
      <w:pPr>
        <w:spacing w:after="60"/>
      </w:pPr>
    </w:p>
    <w:p>
      <w:pPr>
        <w:pStyle w:val="Heading1"/>
      </w:pPr>
      <w:r>
        <w:t xml:space="preserve">Unit Summary</w:t>
      </w:r>
    </w:p>
    <w:p>
      <w:pPr>
        <w:pStyle w:val="ListParagraph"/>
        <w:numPr>
          <w:ilvl w:val="0"/>
          <w:numId w:val="3"/>
        </w:numPr>
        <w:spacing w:after="60"/>
      </w:pPr>
      <w:r>
        <w:t xml:space="preserve">Results achieved come under Performance Gravity: a steady pull back towards the organisation’s historical average.</w:t>
      </w:r>
    </w:p>
    <w:p>
      <w:pPr>
        <w:pStyle w:val="ListParagraph"/>
        <w:numPr>
          <w:ilvl w:val="0"/>
          <w:numId w:val="3"/>
        </w:numPr>
        <w:spacing w:after="60"/>
      </w:pPr>
      <w:r>
        <w:t xml:space="preserve">The pull shows first on one of three lines of sight: strategic, operational or behavioural.</w:t>
      </w:r>
    </w:p>
    <w:p>
      <w:pPr>
        <w:pStyle w:val="ListParagraph"/>
        <w:numPr>
          <w:ilvl w:val="0"/>
          <w:numId w:val="3"/>
        </w:numPr>
        <w:spacing w:after="60"/>
      </w:pPr>
      <w:r>
        <w:t xml:space="preserve">Each line reads a result the leadership team already produces: the Key Result, the ESRG scan and the Health Thermometer. WARD filters all three.</w:t>
      </w:r>
    </w:p>
    <w:p>
      <w:pPr>
        <w:pStyle w:val="ListParagraph"/>
        <w:numPr>
          <w:ilvl w:val="0"/>
          <w:numId w:val="3"/>
        </w:numPr>
        <w:spacing w:after="60"/>
      </w:pPr>
      <w:r>
        <w:t xml:space="preserve">Each line drifts through its own mechanism: Momentum Illusion, Complexity Creep and Execution Regression. KISS answers each one.</w:t>
      </w:r>
    </w:p>
    <w:p>
      <w:pPr>
        <w:pStyle w:val="ListParagraph"/>
        <w:numPr>
          <w:ilvl w:val="0"/>
          <w:numId w:val="3"/>
        </w:numPr>
        <w:spacing w:after="60"/>
      </w:pPr>
      <w:r>
        <w:t xml:space="preserve">Each quarter, the Quarterly Three Lines of Sight page brings the three lines together and closes with the KISS decisions for the next quarter.</w:t>
      </w:r>
    </w:p>
    <w:p>
      <w:pPr>
        <w:pStyle w:val="Heading2"/>
      </w:pPr>
      <w:r>
        <w:t xml:space="preserve">Removed from the current Unit 12</w:t>
      </w:r>
    </w:p>
    <w:p>
      <w:pPr>
        <w:spacing w:after="120"/>
      </w:pPr>
      <w:r>
        <w:t xml:space="preserve">For your reference while reviewing: the five forces detail and causal map, Legitimacy Erosion and Success Inertia, ABCV as the navigation diagnostic, the navigation chain, the S2R® Collective Intelligence Review with its four instruments (the ESRG scan and Health Thermometer results now feed the quarterly page), the four force-anchored scenarios and the personal 30-day commitment.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IBSL · Unit 12 Sustaining Performance · Facilitator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A4D2E"/>
      <w:sz w:val="44"/>
      <w:szCs w:val="44"/>
    </w:rPr>
  </w:style>
  <w:style w:type="paragraph" w:styleId="Heading1">
    <w:name w:val="Heading 1"/>
    <w:basedOn w:val="Normal"/>
    <w:next w:val="Normal"/>
    <w:qFormat/>
    <w:pPr>
      <w:pBdr>
        <w:bottom w:val="single" w:color="C9A227" w:sz="8" w:space="4"/>
      </w:pBdr>
      <w:spacing w:after="160" w:before="360"/>
      <w:outlineLvl w:val="0"/>
    </w:pPr>
    <w:rPr>
      <w:rFonts w:ascii="Calibri" w:cs="Calibri" w:eastAsia="Calibri" w:hAnsi="Calibri"/>
      <w:b/>
      <w:bCs/>
      <w:color w:val="1A4D2E"/>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A4D2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7A641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12 Sustaining Performance — Facilitator</dc:title>
  <dc:creator>IBSL</dc:creator>
  <cp:lastModifiedBy>Un-named</cp:lastModifiedBy>
  <cp:revision>1</cp:revision>
  <dcterms:created xsi:type="dcterms:W3CDTF">2026-10-27T21:03:00.829Z</dcterms:created>
  <dcterms:modified xsi:type="dcterms:W3CDTF">2026-10-27T21:03:00.830Z</dcterms:modified>
</cp:coreProperties>
</file>

<file path=docProps/custom.xml><?xml version="1.0" encoding="utf-8"?>
<Properties xmlns="http://schemas.openxmlformats.org/officeDocument/2006/custom-properties" xmlns:vt="http://schemas.openxmlformats.org/officeDocument/2006/docPropsVTypes"/>
</file>