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5D3C" w:rsidP="00D31D50">
      <w:pPr>
        <w:spacing w:line="220" w:lineRule="atLeast"/>
        <w:rPr>
          <w:rFonts w:ascii="仿宋" w:eastAsia="仿宋" w:hAnsi="仿宋" w:hint="eastAsia"/>
          <w:color w:val="494949"/>
          <w:sz w:val="21"/>
          <w:szCs w:val="21"/>
        </w:rPr>
      </w:pPr>
      <w:r w:rsidRPr="00A85D3C">
        <w:rPr>
          <w:rFonts w:ascii="仿宋" w:eastAsia="仿宋" w:hAnsi="仿宋"/>
          <w:color w:val="494949"/>
          <w:sz w:val="21"/>
          <w:szCs w:val="21"/>
        </w:rPr>
        <w:t>残留风险指在执行风险应对计划后仍然残留的风险，通常是可接受的。</w:t>
      </w:r>
    </w:p>
    <w:p w:rsidR="00A85D3C" w:rsidRPr="00A85D3C" w:rsidRDefault="00A85D3C" w:rsidP="00D31D50">
      <w:pPr>
        <w:spacing w:line="220" w:lineRule="atLeast"/>
      </w:pPr>
      <w:r w:rsidRPr="00A85D3C">
        <w:rPr>
          <w:rFonts w:ascii="仿宋" w:eastAsia="仿宋" w:hAnsi="仿宋"/>
          <w:color w:val="494949"/>
          <w:sz w:val="21"/>
          <w:szCs w:val="21"/>
        </w:rPr>
        <w:t>次生风险指由于执行风险应对计划直接导致产生的风险。</w:t>
      </w:r>
    </w:p>
    <w:sectPr w:rsidR="00A85D3C" w:rsidRPr="00A85D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0EDF"/>
    <w:rsid w:val="008B7726"/>
    <w:rsid w:val="00A85D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2014-08-27T03:36:00Z</dcterms:modified>
</cp:coreProperties>
</file>