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 w:rsidP="0074285B">
      <w:pPr>
        <w:keepNext/>
        <w:rPr>
          <w:b/>
          <w:sz w:val="22"/>
          <w:szCs w:val="22"/>
          <w:lang w:val="en-CA"/>
        </w:rPr>
      </w:pPr>
      <w:r w:rsidRPr="000D79F0">
        <w:rPr>
          <w:b/>
          <w:sz w:val="22"/>
          <w:szCs w:val="22"/>
          <w:lang w:val="en-CA"/>
        </w:rPr>
        <w:t>Purpose:</w:t>
      </w:r>
    </w:p>
    <w:p w:rsidR="0074285B" w:rsidRDefault="0074285B" w:rsidP="0074285B">
      <w:pPr>
        <w:spacing w:before="240" w:after="240"/>
        <w:ind w:left="-6"/>
        <w:rPr>
          <w:sz w:val="20"/>
          <w:szCs w:val="20"/>
        </w:rPr>
      </w:pPr>
      <w:r w:rsidRPr="0074285B">
        <w:rPr>
          <w:sz w:val="20"/>
          <w:szCs w:val="20"/>
        </w:rPr>
        <w:t xml:space="preserve">This document </w:t>
      </w:r>
      <w:r w:rsidR="00245DC3">
        <w:rPr>
          <w:sz w:val="20"/>
          <w:szCs w:val="20"/>
        </w:rPr>
        <w:t>describes the access to the Metadata Server</w:t>
      </w:r>
      <w:r w:rsidR="005D4E6A">
        <w:rPr>
          <w:sz w:val="20"/>
          <w:szCs w:val="20"/>
        </w:rPr>
        <w:t xml:space="preserve">, </w:t>
      </w:r>
      <w:r w:rsidR="00224EDB">
        <w:rPr>
          <w:sz w:val="20"/>
          <w:szCs w:val="20"/>
        </w:rPr>
        <w:t xml:space="preserve">how to </w:t>
      </w:r>
      <w:r w:rsidR="005D4E6A">
        <w:rPr>
          <w:sz w:val="20"/>
          <w:szCs w:val="20"/>
        </w:rPr>
        <w:t xml:space="preserve">perform </w:t>
      </w:r>
      <w:r w:rsidR="00224EDB">
        <w:rPr>
          <w:sz w:val="20"/>
          <w:szCs w:val="20"/>
        </w:rPr>
        <w:t xml:space="preserve">simple and advanced </w:t>
      </w:r>
      <w:r w:rsidR="005D4E6A">
        <w:rPr>
          <w:sz w:val="20"/>
          <w:szCs w:val="20"/>
        </w:rPr>
        <w:t>searches</w:t>
      </w:r>
      <w:r w:rsidR="00224EDB">
        <w:rPr>
          <w:sz w:val="20"/>
          <w:szCs w:val="20"/>
        </w:rPr>
        <w:t>, and how to create various display and data outputs</w:t>
      </w:r>
      <w:r w:rsidR="00245DC3">
        <w:rPr>
          <w:sz w:val="20"/>
          <w:szCs w:val="20"/>
        </w:rPr>
        <w:t>.</w:t>
      </w:r>
      <w:r w:rsidRPr="0074285B">
        <w:rPr>
          <w:sz w:val="20"/>
          <w:szCs w:val="20"/>
        </w:rPr>
        <w:t xml:space="preserve"> </w:t>
      </w:r>
      <w:r w:rsidR="003B14EF">
        <w:rPr>
          <w:sz w:val="20"/>
          <w:szCs w:val="20"/>
        </w:rPr>
        <w:t>The following description is for the ‘classic’ user interface.</w:t>
      </w:r>
    </w:p>
    <w:p w:rsidR="007A0321" w:rsidRDefault="007A0321" w:rsidP="0074285B">
      <w:pPr>
        <w:spacing w:before="240" w:after="240"/>
        <w:ind w:left="-6"/>
        <w:rPr>
          <w:sz w:val="20"/>
          <w:szCs w:val="20"/>
        </w:rPr>
      </w:pPr>
      <w:r>
        <w:rPr>
          <w:sz w:val="20"/>
          <w:szCs w:val="20"/>
        </w:rPr>
        <w:t>The general description is thoroughly described in the GeoNetwork Users Manual (</w:t>
      </w:r>
      <w:hyperlink r:id="rId8" w:history="1">
        <w:r w:rsidRPr="00A07F43">
          <w:rPr>
            <w:rStyle w:val="Hyperlink"/>
            <w:sz w:val="20"/>
            <w:szCs w:val="20"/>
          </w:rPr>
          <w:t>http://geonetwork-opensource.org/manuals/2.10.3/eng/users/GeoNetworkUserManual.pdf</w:t>
        </w:r>
      </w:hyperlink>
      <w:r>
        <w:rPr>
          <w:sz w:val="20"/>
          <w:szCs w:val="20"/>
        </w:rPr>
        <w:t xml:space="preserve"> ) at time of writing ).</w:t>
      </w:r>
    </w:p>
    <w:tbl>
      <w:tblPr>
        <w:tblStyle w:val="TableGrid"/>
        <w:tblW w:w="8932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956"/>
        <w:gridCol w:w="4944"/>
        <w:gridCol w:w="3032"/>
      </w:tblGrid>
      <w:tr w:rsidR="00112E07" w:rsidTr="00112E07">
        <w:trPr>
          <w:trHeight w:val="454"/>
        </w:trPr>
        <w:tc>
          <w:tcPr>
            <w:tcW w:w="956" w:type="dxa"/>
            <w:hideMark/>
          </w:tcPr>
          <w:p w:rsidR="00112E07" w:rsidRDefault="00112E07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4944" w:type="dxa"/>
            <w:hideMark/>
          </w:tcPr>
          <w:p w:rsidR="00112E07" w:rsidRDefault="00112E07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3032" w:type="dxa"/>
            <w:hideMark/>
          </w:tcPr>
          <w:p w:rsidR="00112E07" w:rsidRDefault="00112E07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 w:rsidR="00D55A8C" w:rsidTr="00112E07">
        <w:tc>
          <w:tcPr>
            <w:tcW w:w="956" w:type="dxa"/>
          </w:tcPr>
          <w:p w:rsidR="00D55A8C" w:rsidRDefault="00D55A8C" w:rsidP="00D55A8C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44" w:type="dxa"/>
          </w:tcPr>
          <w:p w:rsidR="00D55A8C" w:rsidRDefault="00D55A8C" w:rsidP="00D55A8C">
            <w:pPr>
              <w:spacing w:before="24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 browser to connect to:</w:t>
            </w:r>
          </w:p>
          <w:p w:rsidR="00D55A8C" w:rsidRPr="003A70DA" w:rsidRDefault="0016601F" w:rsidP="003B14EF">
            <w:pPr>
              <w:spacing w:after="120"/>
              <w:ind w:left="827" w:hanging="827"/>
              <w:rPr>
                <w:rFonts w:ascii="Times New Roman" w:hAnsi="Times New Roman" w:cs="Times New Roman"/>
              </w:rPr>
            </w:pPr>
            <w:hyperlink w:history="1">
              <w:r w:rsidR="003B14EF" w:rsidRPr="00500E9C">
                <w:rPr>
                  <w:rStyle w:val="Hyperlink"/>
                  <w:rFonts w:ascii="Times New Roman" w:hAnsi="Times New Roman" w:cs="Times New Roman"/>
                  <w:u w:color="0000E9"/>
                </w:rPr>
                <w:t>http://&lt;your</w:t>
              </w:r>
            </w:hyperlink>
            <w:r w:rsidR="003B14EF">
              <w:rPr>
                <w:rFonts w:ascii="Times New Roman" w:hAnsi="Times New Roman" w:cs="Times New Roman"/>
                <w:color w:val="0000E9"/>
                <w:u w:val="single" w:color="0000E9"/>
              </w:rPr>
              <w:t xml:space="preserve"> IP address&gt;</w:t>
            </w:r>
            <w:r w:rsidR="003A70DA">
              <w:rPr>
                <w:rFonts w:ascii="Times New Roman" w:hAnsi="Times New Roman" w:cs="Times New Roman"/>
                <w:color w:val="0000E9"/>
                <w:u w:val="single" w:color="0000E9"/>
              </w:rPr>
              <w:t>:</w:t>
            </w:r>
            <w:r w:rsidR="003B14EF">
              <w:rPr>
                <w:rFonts w:ascii="Times New Roman" w:hAnsi="Times New Roman" w:cs="Times New Roman"/>
                <w:color w:val="0000E9"/>
                <w:u w:val="single" w:color="0000E9"/>
              </w:rPr>
              <w:t>&lt;port&gt;</w:t>
            </w:r>
            <w:r w:rsidR="003A70DA">
              <w:rPr>
                <w:rFonts w:ascii="Times New Roman" w:hAnsi="Times New Roman" w:cs="Times New Roman"/>
                <w:color w:val="0000E9"/>
                <w:u w:val="single" w:color="0000E9"/>
              </w:rPr>
              <w:t>/geonetwork</w:t>
            </w:r>
          </w:p>
        </w:tc>
        <w:tc>
          <w:tcPr>
            <w:tcW w:w="3032" w:type="dxa"/>
          </w:tcPr>
          <w:p w:rsidR="003B14EF" w:rsidRDefault="003B14EF" w:rsidP="00270F5E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&lt;port&gt; default is 8080</w:t>
            </w:r>
          </w:p>
          <w:p w:rsidR="00D55A8C" w:rsidRPr="00C23C53" w:rsidRDefault="003A70DA" w:rsidP="00270F5E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0"/>
                <w:szCs w:val="20"/>
              </w:rPr>
            </w:pPr>
            <w:r w:rsidRPr="005D4E6A">
              <w:rPr>
                <w:sz w:val="20"/>
                <w:szCs w:val="20"/>
              </w:rPr>
              <w:t>It is *not* necessary to sign in to search for metadata.  This is only required for administrative functions</w:t>
            </w:r>
            <w:r>
              <w:rPr>
                <w:sz w:val="20"/>
                <w:szCs w:val="20"/>
              </w:rPr>
              <w:t xml:space="preserve"> such as editing and deleting records</w:t>
            </w:r>
          </w:p>
        </w:tc>
      </w:tr>
      <w:tr w:rsidR="003A70DA" w:rsidTr="00112E07">
        <w:trPr>
          <w:cantSplit/>
        </w:trPr>
        <w:tc>
          <w:tcPr>
            <w:tcW w:w="956" w:type="dxa"/>
          </w:tcPr>
          <w:p w:rsidR="003A70DA" w:rsidRDefault="003A70DA" w:rsidP="0074285B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944" w:type="dxa"/>
          </w:tcPr>
          <w:p w:rsidR="003A70DA" w:rsidRPr="00AF1D89" w:rsidRDefault="003A70DA" w:rsidP="00270F5E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are </w:t>
            </w:r>
            <w:r w:rsidRPr="00722231">
              <w:rPr>
                <w:b/>
                <w:sz w:val="20"/>
                <w:szCs w:val="20"/>
              </w:rPr>
              <w:t>two search modes</w:t>
            </w:r>
            <w:r>
              <w:rPr>
                <w:sz w:val="20"/>
                <w:szCs w:val="20"/>
              </w:rPr>
              <w:t>, simple and advanced.  Almost invariably, the &lt;simple&gt; search as displayed on the splash screen will suffice.</w:t>
            </w:r>
          </w:p>
        </w:tc>
        <w:tc>
          <w:tcPr>
            <w:tcW w:w="3032" w:type="dxa"/>
          </w:tcPr>
          <w:p w:rsidR="003A70DA" w:rsidRPr="005D4E6A" w:rsidRDefault="003A70DA" w:rsidP="00270F5E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0"/>
                <w:szCs w:val="20"/>
              </w:rPr>
            </w:pPr>
          </w:p>
        </w:tc>
      </w:tr>
      <w:tr w:rsidR="003A70DA" w:rsidTr="00112E07">
        <w:trPr>
          <w:cantSplit/>
        </w:trPr>
        <w:tc>
          <w:tcPr>
            <w:tcW w:w="956" w:type="dxa"/>
          </w:tcPr>
          <w:p w:rsidR="003A70DA" w:rsidRDefault="003A70DA" w:rsidP="0074285B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944" w:type="dxa"/>
          </w:tcPr>
          <w:p w:rsidR="003A70DA" w:rsidRDefault="003A70DA" w:rsidP="00270F5E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sz w:val="20"/>
                <w:szCs w:val="20"/>
              </w:rPr>
            </w:pPr>
            <w:r w:rsidRPr="005D4E6A">
              <w:rPr>
                <w:sz w:val="20"/>
                <w:szCs w:val="20"/>
              </w:rPr>
              <w:t xml:space="preserve">The </w:t>
            </w:r>
            <w:r w:rsidRPr="00722231">
              <w:rPr>
                <w:b/>
                <w:sz w:val="20"/>
                <w:szCs w:val="20"/>
              </w:rPr>
              <w:t>common approach</w:t>
            </w:r>
            <w:r w:rsidRPr="005D4E6A">
              <w:rPr>
                <w:sz w:val="20"/>
                <w:szCs w:val="20"/>
              </w:rPr>
              <w:t xml:space="preserve"> is to select a geographic window, and place one or more search terms to be searched.</w:t>
            </w:r>
            <w:r>
              <w:rPr>
                <w:sz w:val="20"/>
                <w:szCs w:val="20"/>
              </w:rPr>
              <w:t xml:space="preserve">  If there are too many results, narrow the search by bounding box and by search terms</w:t>
            </w:r>
          </w:p>
          <w:p w:rsidR="003A70DA" w:rsidRPr="003A70DA" w:rsidRDefault="003A70DA" w:rsidP="00270F5E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  <w:rPr>
                <w:sz w:val="20"/>
                <w:szCs w:val="20"/>
              </w:rPr>
            </w:pPr>
            <w:r w:rsidRPr="003A70DA">
              <w:rPr>
                <w:sz w:val="20"/>
                <w:szCs w:val="20"/>
              </w:rPr>
              <w:t xml:space="preserve">The </w:t>
            </w:r>
            <w:r w:rsidRPr="003A70DA">
              <w:rPr>
                <w:b/>
                <w:sz w:val="20"/>
                <w:szCs w:val="20"/>
              </w:rPr>
              <w:t>advanced search</w:t>
            </w:r>
            <w:r w:rsidRPr="003A70DA">
              <w:rPr>
                <w:sz w:val="20"/>
                <w:szCs w:val="20"/>
              </w:rPr>
              <w:t xml:space="preserve"> permits specific title, abstract, keywords, credit, data parameters and taxonomic names.  This is in addition to optionally selecting a geographic bounding box, temporal extent  and metadata change date range.</w:t>
            </w:r>
          </w:p>
        </w:tc>
        <w:tc>
          <w:tcPr>
            <w:tcW w:w="3032" w:type="dxa"/>
          </w:tcPr>
          <w:p w:rsidR="003A70DA" w:rsidRDefault="003A70DA" w:rsidP="00270F5E">
            <w:pPr>
              <w:pStyle w:val="ListParagraph"/>
              <w:numPr>
                <w:ilvl w:val="0"/>
                <w:numId w:val="1"/>
              </w:numPr>
              <w:spacing w:before="360" w:after="240"/>
              <w:ind w:left="357" w:hanging="357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 is &lt;Google-like&gt;.</w:t>
            </w:r>
          </w:p>
          <w:p w:rsidR="003A70DA" w:rsidRDefault="003A70DA" w:rsidP="00270F5E">
            <w:pPr>
              <w:pStyle w:val="ListParagraph"/>
              <w:numPr>
                <w:ilvl w:val="0"/>
                <w:numId w:val="1"/>
              </w:numPr>
              <w:spacing w:before="240" w:after="24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result includes title, about 20 words of the abstract, bounding box extent and keywords. </w:t>
            </w:r>
          </w:p>
          <w:p w:rsidR="003A70DA" w:rsidRDefault="003A70DA" w:rsidP="00270F5E">
            <w:pPr>
              <w:pStyle w:val="ListParagraph"/>
              <w:numPr>
                <w:ilvl w:val="0"/>
                <w:numId w:val="1"/>
              </w:numPr>
              <w:spacing w:before="240" w:after="24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display can be enhanced with thumbnails</w:t>
            </w:r>
          </w:p>
          <w:p w:rsidR="003A70DA" w:rsidRPr="00224EDB" w:rsidRDefault="003A70DA" w:rsidP="00224EDB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3A70DA" w:rsidTr="00112E07">
        <w:trPr>
          <w:cantSplit/>
        </w:trPr>
        <w:tc>
          <w:tcPr>
            <w:tcW w:w="956" w:type="dxa"/>
          </w:tcPr>
          <w:p w:rsidR="003A70DA" w:rsidRDefault="003A70DA" w:rsidP="0074285B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944" w:type="dxa"/>
          </w:tcPr>
          <w:p w:rsidR="003A70DA" w:rsidRDefault="003A70DA" w:rsidP="00270F5E">
            <w:pPr>
              <w:pStyle w:val="ListParagraph"/>
              <w:numPr>
                <w:ilvl w:val="0"/>
                <w:numId w:val="2"/>
              </w:num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Metadata </w:t>
            </w:r>
            <w:r w:rsidRPr="00722231">
              <w:rPr>
                <w:b/>
                <w:sz w:val="20"/>
                <w:szCs w:val="20"/>
              </w:rPr>
              <w:t>display options</w:t>
            </w:r>
            <w:r>
              <w:rPr>
                <w:sz w:val="20"/>
                <w:szCs w:val="20"/>
              </w:rPr>
              <w:t xml:space="preserve"> by:</w:t>
            </w:r>
          </w:p>
          <w:p w:rsidR="003A70DA" w:rsidRDefault="003A70DA" w:rsidP="00270F5E">
            <w:pPr>
              <w:pStyle w:val="ListParagraph"/>
              <w:numPr>
                <w:ilvl w:val="1"/>
                <w:numId w:val="2"/>
              </w:numPr>
              <w:spacing w:before="240" w:after="240"/>
              <w:ind w:left="8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clicking the &lt;metadata&gt; button, the detailed metadata is displayed.</w:t>
            </w:r>
          </w:p>
          <w:p w:rsidR="003A70DA" w:rsidRDefault="003A70DA" w:rsidP="00270F5E">
            <w:pPr>
              <w:pStyle w:val="ListParagraph"/>
              <w:numPr>
                <w:ilvl w:val="1"/>
                <w:numId w:val="2"/>
              </w:numPr>
              <w:spacing w:before="240" w:after="240"/>
              <w:ind w:left="8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Clicking the PDF button in the top right corner of each record to save or display PDF</w:t>
            </w:r>
          </w:p>
          <w:p w:rsidR="003A70DA" w:rsidRPr="00203429" w:rsidRDefault="003A70DA" w:rsidP="00270F5E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Converting to/from Dublin Core metadata</w:t>
            </w:r>
          </w:p>
        </w:tc>
        <w:tc>
          <w:tcPr>
            <w:tcW w:w="3032" w:type="dxa"/>
          </w:tcPr>
          <w:p w:rsidR="003A70DA" w:rsidRPr="00203429" w:rsidRDefault="003A70DA" w:rsidP="00203429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3A70DA" w:rsidTr="00112E07">
        <w:trPr>
          <w:cantSplit/>
        </w:trPr>
        <w:tc>
          <w:tcPr>
            <w:tcW w:w="956" w:type="dxa"/>
          </w:tcPr>
          <w:p w:rsidR="003A70DA" w:rsidRDefault="003A70DA" w:rsidP="0074285B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4944" w:type="dxa"/>
          </w:tcPr>
          <w:p w:rsidR="003A70DA" w:rsidRDefault="003A70DA" w:rsidP="00270F5E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data is hyperlinked by the metadata, the button for data download will be present.</w:t>
            </w:r>
          </w:p>
          <w:p w:rsidR="003A70DA" w:rsidRPr="005D4E6A" w:rsidRDefault="003A70DA" w:rsidP="00270F5E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Similarly, if the layers are WMS-compatible, there will be a button to invoke a Google Earth display.</w:t>
            </w:r>
          </w:p>
        </w:tc>
        <w:tc>
          <w:tcPr>
            <w:tcW w:w="3032" w:type="dxa"/>
          </w:tcPr>
          <w:p w:rsidR="003A70DA" w:rsidRDefault="003A70DA" w:rsidP="0074285B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3A70DA" w:rsidTr="00112E07">
        <w:trPr>
          <w:cantSplit/>
        </w:trPr>
        <w:tc>
          <w:tcPr>
            <w:tcW w:w="956" w:type="dxa"/>
          </w:tcPr>
          <w:p w:rsidR="003A70DA" w:rsidRDefault="003A70DA" w:rsidP="0074285B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944" w:type="dxa"/>
          </w:tcPr>
          <w:p w:rsidR="003A70DA" w:rsidRPr="003A70DA" w:rsidRDefault="003A70DA" w:rsidP="003A70DA">
            <w:pPr>
              <w:spacing w:before="240" w:after="60"/>
              <w:rPr>
                <w:b/>
                <w:sz w:val="20"/>
                <w:szCs w:val="20"/>
                <w:u w:val="single"/>
              </w:rPr>
            </w:pPr>
            <w:r w:rsidRPr="003A70DA">
              <w:rPr>
                <w:b/>
                <w:sz w:val="20"/>
                <w:szCs w:val="20"/>
                <w:u w:val="single"/>
              </w:rPr>
              <w:t xml:space="preserve">Access to administration mode </w:t>
            </w:r>
          </w:p>
          <w:p w:rsidR="003A70DA" w:rsidRDefault="003A70DA" w:rsidP="003A70DA">
            <w:pPr>
              <w:spacing w:before="6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(system administrators only)</w:t>
            </w:r>
          </w:p>
          <w:p w:rsidR="003A70DA" w:rsidRDefault="003A70DA" w:rsidP="00270F5E">
            <w:pPr>
              <w:pStyle w:val="ListParagraph"/>
              <w:numPr>
                <w:ilvl w:val="0"/>
                <w:numId w:val="3"/>
              </w:numPr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</w:t>
            </w:r>
            <w:r w:rsidRPr="003A70DA">
              <w:rPr>
                <w:sz w:val="20"/>
                <w:szCs w:val="20"/>
              </w:rPr>
              <w:t xml:space="preserve"> ID and PW, </w:t>
            </w:r>
          </w:p>
          <w:p w:rsidR="003A70DA" w:rsidRPr="003A70DA" w:rsidRDefault="003A70DA" w:rsidP="00270F5E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sz w:val="20"/>
                <w:szCs w:val="20"/>
              </w:rPr>
            </w:pPr>
            <w:r w:rsidRPr="003A70DA">
              <w:rPr>
                <w:sz w:val="20"/>
                <w:szCs w:val="20"/>
              </w:rPr>
              <w:t xml:space="preserve">main screen will provide options to </w:t>
            </w:r>
            <w:r>
              <w:rPr>
                <w:sz w:val="20"/>
                <w:szCs w:val="20"/>
              </w:rPr>
              <w:t>edit or delete selected individual records</w:t>
            </w:r>
          </w:p>
          <w:p w:rsidR="003A70DA" w:rsidRDefault="003A70DA" w:rsidP="00270F5E">
            <w:pPr>
              <w:pStyle w:val="ListParagraph"/>
              <w:numPr>
                <w:ilvl w:val="0"/>
                <w:numId w:val="2"/>
              </w:numPr>
              <w:spacing w:before="240" w:after="240"/>
              <w:ind w:left="73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 the top of all the aggregated records section, bulk operations can be performed. </w:t>
            </w:r>
          </w:p>
          <w:p w:rsidR="003A70DA" w:rsidRPr="00224EDB" w:rsidRDefault="003A70DA" w:rsidP="00270F5E">
            <w:pPr>
              <w:pStyle w:val="ListParagraph"/>
              <w:numPr>
                <w:ilvl w:val="0"/>
                <w:numId w:val="2"/>
              </w:numPr>
              <w:spacing w:before="240" w:after="240"/>
              <w:ind w:left="734"/>
              <w:contextualSpacing w:val="0"/>
              <w:rPr>
                <w:sz w:val="20"/>
                <w:szCs w:val="20"/>
              </w:rPr>
            </w:pPr>
            <w:r w:rsidRPr="00722231">
              <w:rPr>
                <w:b/>
                <w:sz w:val="20"/>
                <w:szCs w:val="20"/>
              </w:rPr>
              <w:t>Administration</w:t>
            </w:r>
            <w:r>
              <w:rPr>
                <w:sz w:val="20"/>
                <w:szCs w:val="20"/>
              </w:rPr>
              <w:t xml:space="preserve"> tab to be present next to the Home tab.  This permits access for</w:t>
            </w:r>
            <w:r w:rsidR="00912216">
              <w:rPr>
                <w:sz w:val="20"/>
                <w:szCs w:val="20"/>
              </w:rPr>
              <w:t xml:space="preserve"> metadata entry and change, </w:t>
            </w:r>
            <w:r>
              <w:rPr>
                <w:sz w:val="20"/>
                <w:szCs w:val="20"/>
              </w:rPr>
              <w:t>PW updates</w:t>
            </w:r>
            <w:r w:rsidR="00912216">
              <w:rPr>
                <w:sz w:val="20"/>
                <w:szCs w:val="20"/>
              </w:rPr>
              <w:t xml:space="preserve"> and various other administrative tasks</w:t>
            </w:r>
          </w:p>
        </w:tc>
        <w:tc>
          <w:tcPr>
            <w:tcW w:w="3032" w:type="dxa"/>
          </w:tcPr>
          <w:p w:rsidR="003A70DA" w:rsidRPr="003A70DA" w:rsidRDefault="003A70DA" w:rsidP="00270F5E">
            <w:pPr>
              <w:pStyle w:val="ListParagraph"/>
              <w:numPr>
                <w:ilvl w:val="0"/>
                <w:numId w:val="2"/>
              </w:num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reserved for system administrators</w:t>
            </w:r>
          </w:p>
        </w:tc>
      </w:tr>
    </w:tbl>
    <w:p w:rsidR="0074285B" w:rsidRDefault="0074285B" w:rsidP="00912216">
      <w:pPr>
        <w:spacing w:before="240" w:after="240"/>
      </w:pPr>
    </w:p>
    <w:sectPr w:rsidR="007428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B4E" w:rsidRDefault="00E95B4E">
      <w:r>
        <w:separator/>
      </w:r>
    </w:p>
  </w:endnote>
  <w:endnote w:type="continuationSeparator" w:id="0">
    <w:p w:rsidR="00E95B4E" w:rsidRDefault="00E95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180" w:rsidRDefault="000331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20"/>
      <w:gridCol w:w="4548"/>
      <w:gridCol w:w="1862"/>
    </w:tblGrid>
    <w:tr w:rsidR="001D4C92" w:rsidTr="00F103A9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680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9E3D08" w:rsidP="003B14EF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Terry Curran, P.Eng.</w:t>
          </w:r>
          <w:r w:rsidR="00FF2966" w:rsidRPr="00F103A9">
            <w:rPr>
              <w:sz w:val="20"/>
              <w:szCs w:val="20"/>
            </w:rPr>
            <w:t xml:space="preserve"> / 201</w:t>
          </w:r>
          <w:r w:rsidR="003B14EF">
            <w:rPr>
              <w:sz w:val="20"/>
              <w:szCs w:val="20"/>
            </w:rPr>
            <w:t>5-02-26</w:t>
          </w:r>
        </w:p>
      </w:tc>
      <w:tc>
        <w:tcPr>
          <w:tcW w:w="1908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6601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6601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180" w:rsidRDefault="000331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B4E" w:rsidRDefault="00E95B4E">
      <w:r>
        <w:separator/>
      </w:r>
    </w:p>
  </w:footnote>
  <w:footnote w:type="continuationSeparator" w:id="0">
    <w:p w:rsidR="00E95B4E" w:rsidRDefault="00E95B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180" w:rsidRDefault="000331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7"/>
      <w:gridCol w:w="2485"/>
    </w:tblGrid>
    <w:tr w:rsidR="001D4C92" w:rsidTr="00F103A9">
      <w:trPr>
        <w:trHeight w:val="1054"/>
      </w:trPr>
      <w:tc>
        <w:tcPr>
          <w:tcW w:w="1548" w:type="dxa"/>
          <w:shd w:val="clear" w:color="auto" w:fill="auto"/>
        </w:tcPr>
        <w:p w:rsidR="001D4C92" w:rsidRPr="00864306" w:rsidRDefault="00FF41E2" w:rsidP="00FF41E2">
          <w:pPr>
            <w:pStyle w:val="Header"/>
            <w:jc w:val="center"/>
          </w:pPr>
          <w:r>
            <w:rPr>
              <w:noProof/>
              <w:lang w:val="en-CA" w:eastAsia="en-CA"/>
            </w:rPr>
            <w:drawing>
              <wp:anchor distT="0" distB="0" distL="0" distR="0" simplePos="0" relativeHeight="251659264" behindDoc="0" locked="0" layoutInCell="1" allowOverlap="0" wp14:anchorId="63CB97F7" wp14:editId="1491C0D1">
                <wp:simplePos x="0" y="0"/>
                <wp:positionH relativeFrom="margin">
                  <wp:posOffset>-6350</wp:posOffset>
                </wp:positionH>
                <wp:positionV relativeFrom="paragraph">
                  <wp:posOffset>185420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60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357888" w:rsidRDefault="00357888" w:rsidP="00357888">
          <w:pPr>
            <w:jc w:val="center"/>
            <w:rPr>
              <w:lang w:val="en-CA"/>
            </w:rPr>
          </w:pPr>
          <w:r>
            <w:rPr>
              <w:lang w:val="en-CA"/>
            </w:rPr>
            <w:t>Metadata Administration:</w:t>
          </w:r>
        </w:p>
        <w:p w:rsidR="00357888" w:rsidRDefault="00357888" w:rsidP="00357888">
          <w:pPr>
            <w:jc w:val="center"/>
            <w:rPr>
              <w:lang w:val="en-CA"/>
            </w:rPr>
          </w:pPr>
          <w:r w:rsidRPr="0053442D">
            <w:rPr>
              <w:lang w:val="en-CA"/>
            </w:rPr>
            <w:t xml:space="preserve">Access </w:t>
          </w:r>
          <w:r w:rsidR="00773B19">
            <w:rPr>
              <w:lang w:val="en-CA"/>
            </w:rPr>
            <w:t>and U</w:t>
          </w:r>
          <w:r w:rsidR="005D4E6A">
            <w:rPr>
              <w:lang w:val="en-CA"/>
            </w:rPr>
            <w:t xml:space="preserve">se </w:t>
          </w:r>
          <w:r w:rsidRPr="0053442D">
            <w:rPr>
              <w:lang w:val="en-CA"/>
            </w:rPr>
            <w:t xml:space="preserve">the </w:t>
          </w:r>
          <w:r w:rsidR="00773B19">
            <w:rPr>
              <w:lang w:val="en-CA"/>
            </w:rPr>
            <w:t>GeoNetwork</w:t>
          </w:r>
          <w:r w:rsidRPr="0053442D">
            <w:rPr>
              <w:lang w:val="en-CA"/>
            </w:rPr>
            <w:t xml:space="preserve"> Metadata </w:t>
          </w:r>
          <w:r>
            <w:rPr>
              <w:lang w:val="en-CA"/>
            </w:rPr>
            <w:t>Server</w:t>
          </w:r>
        </w:p>
        <w:p w:rsidR="001D4C92" w:rsidRDefault="001D4C92" w:rsidP="00F103A9">
          <w:pPr>
            <w:pStyle w:val="Header"/>
            <w:jc w:val="center"/>
          </w:pPr>
        </w:p>
      </w:tc>
      <w:tc>
        <w:tcPr>
          <w:tcW w:w="2520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16601F" w:rsidP="00033180">
          <w:pPr>
            <w:pStyle w:val="Header"/>
            <w:jc w:val="center"/>
          </w:pPr>
          <w:r>
            <w:t>340-17</w:t>
          </w:r>
          <w:bookmarkStart w:id="0" w:name="_GoBack"/>
          <w:bookmarkEnd w:id="0"/>
        </w:p>
      </w:tc>
    </w:tr>
  </w:tbl>
  <w:p w:rsidR="001D4C92" w:rsidRDefault="001D4C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180" w:rsidRDefault="000331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A7344"/>
    <w:multiLevelType w:val="hybridMultilevel"/>
    <w:tmpl w:val="8E90B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5F72"/>
    <w:multiLevelType w:val="hybridMultilevel"/>
    <w:tmpl w:val="22A0B1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1C0BB3"/>
    <w:multiLevelType w:val="hybridMultilevel"/>
    <w:tmpl w:val="2FCC31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03810"/>
    <w:rsid w:val="00030430"/>
    <w:rsid w:val="00033180"/>
    <w:rsid w:val="000435DB"/>
    <w:rsid w:val="0008650A"/>
    <w:rsid w:val="0009297B"/>
    <w:rsid w:val="000B70D1"/>
    <w:rsid w:val="000D79F0"/>
    <w:rsid w:val="00101CAE"/>
    <w:rsid w:val="00104B10"/>
    <w:rsid w:val="00112E07"/>
    <w:rsid w:val="001278C8"/>
    <w:rsid w:val="00153BBE"/>
    <w:rsid w:val="00154DBA"/>
    <w:rsid w:val="001613CC"/>
    <w:rsid w:val="0016601F"/>
    <w:rsid w:val="001748D5"/>
    <w:rsid w:val="001A5D2A"/>
    <w:rsid w:val="001D4C92"/>
    <w:rsid w:val="00203429"/>
    <w:rsid w:val="00224EDB"/>
    <w:rsid w:val="002322A1"/>
    <w:rsid w:val="00245DC3"/>
    <w:rsid w:val="00262081"/>
    <w:rsid w:val="00266EF7"/>
    <w:rsid w:val="00270F5E"/>
    <w:rsid w:val="002743A1"/>
    <w:rsid w:val="00292E08"/>
    <w:rsid w:val="002D4CCB"/>
    <w:rsid w:val="002D7ACB"/>
    <w:rsid w:val="00357888"/>
    <w:rsid w:val="00392D9E"/>
    <w:rsid w:val="003948A6"/>
    <w:rsid w:val="003A70DA"/>
    <w:rsid w:val="003A7E05"/>
    <w:rsid w:val="003B14EF"/>
    <w:rsid w:val="003C758D"/>
    <w:rsid w:val="003F6511"/>
    <w:rsid w:val="00417FAD"/>
    <w:rsid w:val="004275A9"/>
    <w:rsid w:val="00445DAA"/>
    <w:rsid w:val="00455FE8"/>
    <w:rsid w:val="0048227F"/>
    <w:rsid w:val="004A610A"/>
    <w:rsid w:val="00510C05"/>
    <w:rsid w:val="00514CC2"/>
    <w:rsid w:val="00540710"/>
    <w:rsid w:val="00576498"/>
    <w:rsid w:val="00587876"/>
    <w:rsid w:val="005B480C"/>
    <w:rsid w:val="005B7D7A"/>
    <w:rsid w:val="005D1884"/>
    <w:rsid w:val="005D4E6A"/>
    <w:rsid w:val="006150CD"/>
    <w:rsid w:val="00637401"/>
    <w:rsid w:val="00657810"/>
    <w:rsid w:val="00663297"/>
    <w:rsid w:val="006638BE"/>
    <w:rsid w:val="006A5A08"/>
    <w:rsid w:val="006F5DFF"/>
    <w:rsid w:val="00711163"/>
    <w:rsid w:val="00722231"/>
    <w:rsid w:val="00727BEC"/>
    <w:rsid w:val="0074285B"/>
    <w:rsid w:val="007632D0"/>
    <w:rsid w:val="00773B19"/>
    <w:rsid w:val="007777B9"/>
    <w:rsid w:val="0078280F"/>
    <w:rsid w:val="007A0321"/>
    <w:rsid w:val="007B3D27"/>
    <w:rsid w:val="007B4AFD"/>
    <w:rsid w:val="008273EB"/>
    <w:rsid w:val="00837ECB"/>
    <w:rsid w:val="008608BE"/>
    <w:rsid w:val="00864306"/>
    <w:rsid w:val="00892F9A"/>
    <w:rsid w:val="008A4D65"/>
    <w:rsid w:val="008E70FF"/>
    <w:rsid w:val="00912216"/>
    <w:rsid w:val="009440A4"/>
    <w:rsid w:val="009450F6"/>
    <w:rsid w:val="00951128"/>
    <w:rsid w:val="009768B2"/>
    <w:rsid w:val="00984858"/>
    <w:rsid w:val="009C1821"/>
    <w:rsid w:val="009D7E5E"/>
    <w:rsid w:val="009E02B1"/>
    <w:rsid w:val="009E3D08"/>
    <w:rsid w:val="00A06EDE"/>
    <w:rsid w:val="00A14294"/>
    <w:rsid w:val="00A23614"/>
    <w:rsid w:val="00A41F2F"/>
    <w:rsid w:val="00A713B9"/>
    <w:rsid w:val="00A71E50"/>
    <w:rsid w:val="00AD3A54"/>
    <w:rsid w:val="00AD5CA5"/>
    <w:rsid w:val="00AE348E"/>
    <w:rsid w:val="00AE3E31"/>
    <w:rsid w:val="00AF081A"/>
    <w:rsid w:val="00AF1D89"/>
    <w:rsid w:val="00B2457D"/>
    <w:rsid w:val="00B3213A"/>
    <w:rsid w:val="00B41510"/>
    <w:rsid w:val="00B63CF1"/>
    <w:rsid w:val="00B735FC"/>
    <w:rsid w:val="00BA14EC"/>
    <w:rsid w:val="00BB0468"/>
    <w:rsid w:val="00BF7909"/>
    <w:rsid w:val="00C07B41"/>
    <w:rsid w:val="00C11728"/>
    <w:rsid w:val="00C17E85"/>
    <w:rsid w:val="00C23C31"/>
    <w:rsid w:val="00C23C53"/>
    <w:rsid w:val="00C5051C"/>
    <w:rsid w:val="00C6122A"/>
    <w:rsid w:val="00C636AB"/>
    <w:rsid w:val="00C65B26"/>
    <w:rsid w:val="00C85F87"/>
    <w:rsid w:val="00C95011"/>
    <w:rsid w:val="00CB5205"/>
    <w:rsid w:val="00CC108C"/>
    <w:rsid w:val="00CE041F"/>
    <w:rsid w:val="00CE0FD5"/>
    <w:rsid w:val="00D42EF8"/>
    <w:rsid w:val="00D55320"/>
    <w:rsid w:val="00D55A8C"/>
    <w:rsid w:val="00D6374B"/>
    <w:rsid w:val="00D724D2"/>
    <w:rsid w:val="00D76FAE"/>
    <w:rsid w:val="00D80BD6"/>
    <w:rsid w:val="00DC66BB"/>
    <w:rsid w:val="00DD1745"/>
    <w:rsid w:val="00DE39C7"/>
    <w:rsid w:val="00DF2042"/>
    <w:rsid w:val="00E059D3"/>
    <w:rsid w:val="00E30EB8"/>
    <w:rsid w:val="00E35B77"/>
    <w:rsid w:val="00E402DB"/>
    <w:rsid w:val="00E675CA"/>
    <w:rsid w:val="00E74D0F"/>
    <w:rsid w:val="00E95B4E"/>
    <w:rsid w:val="00EA0BEC"/>
    <w:rsid w:val="00EB3A2E"/>
    <w:rsid w:val="00EB6BD9"/>
    <w:rsid w:val="00ED26D2"/>
    <w:rsid w:val="00F103A9"/>
    <w:rsid w:val="00F63BFE"/>
    <w:rsid w:val="00F67CB9"/>
    <w:rsid w:val="00FF2966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54B3577-C125-4AFF-98B7-3546E026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network-opensource.org/manuals/2.10.3/eng/users/GeoNetworkUserManual.pd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AC1E3-519C-46A2-904F-32829D6B1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7</cp:revision>
  <cp:lastPrinted>2014-05-09T23:24:00Z</cp:lastPrinted>
  <dcterms:created xsi:type="dcterms:W3CDTF">2015-02-22T23:28:00Z</dcterms:created>
  <dcterms:modified xsi:type="dcterms:W3CDTF">2021-04-16T22:19:00Z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