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AD79FF" w:rsidRDefault="0074285B" w:rsidP="005232B2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 xml:space="preserve">how to </w:t>
      </w:r>
      <w:r w:rsidR="001F1701">
        <w:rPr>
          <w:sz w:val="20"/>
          <w:szCs w:val="20"/>
        </w:rPr>
        <w:t xml:space="preserve">add </w:t>
      </w:r>
      <w:r w:rsidR="005232B2">
        <w:rPr>
          <w:sz w:val="20"/>
          <w:szCs w:val="20"/>
        </w:rPr>
        <w:t>thumbnail links to metadata for use</w:t>
      </w:r>
      <w:r w:rsidR="00874DF7">
        <w:rPr>
          <w:sz w:val="20"/>
          <w:szCs w:val="20"/>
        </w:rPr>
        <w:t xml:space="preserve"> in GeoServer.  </w:t>
      </w:r>
      <w:r w:rsidR="00AD79FF">
        <w:rPr>
          <w:sz w:val="20"/>
          <w:szCs w:val="20"/>
        </w:rPr>
        <w:t xml:space="preserve">Often one would use this approach when doing batches of metadata.  </w:t>
      </w:r>
      <w:r w:rsidR="00F36FA1">
        <w:rPr>
          <w:sz w:val="20"/>
          <w:szCs w:val="20"/>
        </w:rPr>
        <w:t>For single metadata entries, the included GeoNetwork authoring tool or an external authoring tool (like jNAP) would be simpler to use.</w:t>
      </w:r>
    </w:p>
    <w:p w:rsidR="0024787C" w:rsidRDefault="0024787C" w:rsidP="005232B2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>Th</w:t>
      </w:r>
      <w:r w:rsidR="00AD79FF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5232B2">
        <w:rPr>
          <w:sz w:val="20"/>
          <w:szCs w:val="20"/>
        </w:rPr>
        <w:t xml:space="preserve">process uses the Kernow graphical user interface.  A Kernow licence </w:t>
      </w:r>
      <w:r w:rsidR="00BC44EB">
        <w:rPr>
          <w:sz w:val="20"/>
          <w:szCs w:val="16"/>
        </w:rPr>
        <w:t xml:space="preserve">(about 10 UK pounds) </w:t>
      </w:r>
      <w:r w:rsidR="005232B2">
        <w:rPr>
          <w:sz w:val="20"/>
          <w:szCs w:val="20"/>
        </w:rPr>
        <w:t>needs to be purchased</w:t>
      </w:r>
      <w:r w:rsidR="00BC44EB">
        <w:rPr>
          <w:sz w:val="20"/>
          <w:szCs w:val="20"/>
        </w:rPr>
        <w:t xml:space="preserve"> after </w:t>
      </w:r>
      <w:r w:rsidR="008534BE">
        <w:rPr>
          <w:sz w:val="20"/>
          <w:szCs w:val="20"/>
        </w:rPr>
        <w:t>exceeding the 100 execution evaluation limit</w:t>
      </w:r>
      <w:r w:rsidR="005232B2">
        <w:rPr>
          <w:sz w:val="20"/>
          <w:szCs w:val="20"/>
        </w:rPr>
        <w:t>.</w:t>
      </w:r>
    </w:p>
    <w:p w:rsidR="002639B9" w:rsidRDefault="00AD79FF" w:rsidP="002639B9">
      <w:pPr>
        <w:spacing w:before="60" w:after="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To perform batch operations, a rigid folder structure is needed.  </w:t>
      </w:r>
      <w:r w:rsidR="002639B9">
        <w:rPr>
          <w:sz w:val="20"/>
          <w:szCs w:val="20"/>
        </w:rPr>
        <w:t>The expected seven-folder structure is:</w:t>
      </w:r>
    </w:p>
    <w:p w:rsidR="00AD79FF" w:rsidRDefault="00AD79FF" w:rsidP="002639B9">
      <w:pPr>
        <w:spacing w:before="60" w:after="60"/>
        <w:jc w:val="left"/>
        <w:rPr>
          <w:sz w:val="20"/>
          <w:szCs w:val="20"/>
        </w:rPr>
      </w:pPr>
    </w:p>
    <w:p w:rsidR="002639B9" w:rsidRDefault="002639B9" w:rsidP="002639B9">
      <w:pPr>
        <w:spacing w:before="60" w:after="60"/>
        <w:jc w:val="left"/>
        <w:rPr>
          <w:sz w:val="20"/>
          <w:szCs w:val="20"/>
        </w:rPr>
      </w:pPr>
      <w:r>
        <w:rPr>
          <w:sz w:val="20"/>
          <w:szCs w:val="20"/>
        </w:rPr>
        <w:t>Drive E</w:t>
      </w:r>
      <w:proofErr w:type="gramStart"/>
      <w:r>
        <w:rPr>
          <w:sz w:val="20"/>
          <w:szCs w:val="20"/>
        </w:rPr>
        <w:t>:--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all_metadata_work</w:t>
      </w:r>
      <w:proofErr w:type="spellEnd"/>
    </w:p>
    <w:p w:rsidR="002639B9" w:rsidRDefault="002639B9" w:rsidP="002639B9">
      <w:pPr>
        <w:spacing w:before="60" w:after="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|--</w:t>
      </w:r>
      <w:proofErr w:type="spellStart"/>
      <w:r>
        <w:rPr>
          <w:sz w:val="20"/>
          <w:szCs w:val="20"/>
        </w:rPr>
        <w:t>specific_metadata_folder</w:t>
      </w:r>
      <w:proofErr w:type="spellEnd"/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|-- ‘metadata’ folder</w:t>
      </w:r>
    </w:p>
    <w:p w:rsidR="002639B9" w:rsidRDefault="002639B9" w:rsidP="002639B9">
      <w:pPr>
        <w:spacing w:before="60" w:after="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  <w:t xml:space="preserve">   |              |- &lt;</w:t>
      </w:r>
      <w:proofErr w:type="spellStart"/>
      <w:r>
        <w:rPr>
          <w:sz w:val="20"/>
          <w:szCs w:val="20"/>
        </w:rPr>
        <w:t>unique_name</w:t>
      </w:r>
      <w:proofErr w:type="spellEnd"/>
      <w:r>
        <w:rPr>
          <w:sz w:val="20"/>
          <w:szCs w:val="20"/>
        </w:rPr>
        <w:t>&gt;.xml      (1 of more metadata files)</w:t>
      </w:r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|-- ‘metaGraphics’ folder</w:t>
      </w:r>
    </w:p>
    <w:p w:rsidR="002639B9" w:rsidRDefault="002639B9" w:rsidP="002639B9">
      <w:pPr>
        <w:spacing w:before="60" w:after="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  <w:t xml:space="preserve">   |              |- &lt;</w:t>
      </w:r>
      <w:proofErr w:type="spellStart"/>
      <w:r>
        <w:rPr>
          <w:sz w:val="20"/>
          <w:szCs w:val="20"/>
        </w:rPr>
        <w:t>unique_name</w:t>
      </w:r>
      <w:proofErr w:type="spellEnd"/>
      <w:r>
        <w:rPr>
          <w:sz w:val="20"/>
          <w:szCs w:val="20"/>
        </w:rPr>
        <w:t>&gt;.xml      (contents to be overwritten)</w:t>
      </w:r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|-- ‘metaGraphicsData’ folder</w:t>
      </w:r>
    </w:p>
    <w:p w:rsidR="002639B9" w:rsidRDefault="002639B9" w:rsidP="002639B9">
      <w:pPr>
        <w:spacing w:before="60" w:after="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  <w:t xml:space="preserve">   |              |- &lt;</w:t>
      </w:r>
      <w:proofErr w:type="spellStart"/>
      <w:r>
        <w:rPr>
          <w:sz w:val="20"/>
          <w:szCs w:val="20"/>
        </w:rPr>
        <w:t>unique_name</w:t>
      </w:r>
      <w:proofErr w:type="spellEnd"/>
      <w:r>
        <w:rPr>
          <w:sz w:val="20"/>
          <w:szCs w:val="20"/>
        </w:rPr>
        <w:t>&gt;.xml      (contents to be overwritten)</w:t>
      </w:r>
    </w:p>
    <w:p w:rsidR="002639B9" w:rsidRDefault="002639B9" w:rsidP="002639B9">
      <w:pPr>
        <w:spacing w:before="60" w:after="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  <w:t xml:space="preserve">   |--‘thumbnails’ folder</w:t>
      </w:r>
    </w:p>
    <w:p w:rsidR="002639B9" w:rsidRDefault="002639B9" w:rsidP="002639B9">
      <w:pPr>
        <w:spacing w:before="60" w:after="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  <w:t xml:space="preserve">   |              |- &lt;</w:t>
      </w:r>
      <w:proofErr w:type="spellStart"/>
      <w:r>
        <w:rPr>
          <w:sz w:val="20"/>
          <w:szCs w:val="20"/>
        </w:rPr>
        <w:t>unique_name</w:t>
      </w:r>
      <w:proofErr w:type="spellEnd"/>
      <w:r>
        <w:rPr>
          <w:sz w:val="20"/>
          <w:szCs w:val="20"/>
        </w:rPr>
        <w:t>&gt;.</w:t>
      </w:r>
      <w:proofErr w:type="spellStart"/>
      <w:r>
        <w:rPr>
          <w:sz w:val="20"/>
          <w:szCs w:val="20"/>
        </w:rPr>
        <w:t>png</w:t>
      </w:r>
      <w:proofErr w:type="spellEnd"/>
      <w:r>
        <w:rPr>
          <w:sz w:val="20"/>
          <w:szCs w:val="20"/>
        </w:rPr>
        <w:t xml:space="preserve">      (0 or more pairs of graphics files)</w:t>
      </w:r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              |- &lt;</w:t>
      </w:r>
      <w:proofErr w:type="spellStart"/>
      <w:r>
        <w:rPr>
          <w:sz w:val="20"/>
          <w:szCs w:val="20"/>
        </w:rPr>
        <w:t>unique_name</w:t>
      </w:r>
      <w:proofErr w:type="spellEnd"/>
      <w:r>
        <w:rPr>
          <w:sz w:val="20"/>
          <w:szCs w:val="20"/>
        </w:rPr>
        <w:t>&gt;_s.png</w:t>
      </w:r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|--‘data’ folder</w:t>
      </w:r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              |- &lt;</w:t>
      </w:r>
      <w:proofErr w:type="spellStart"/>
      <w:r>
        <w:rPr>
          <w:sz w:val="20"/>
          <w:szCs w:val="20"/>
        </w:rPr>
        <w:t>unique_name</w:t>
      </w:r>
      <w:proofErr w:type="spellEnd"/>
      <w:r>
        <w:rPr>
          <w:sz w:val="20"/>
          <w:szCs w:val="20"/>
        </w:rPr>
        <w:t>&gt;.zip        (0 or more data files)</w:t>
      </w:r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              |- &lt;</w:t>
      </w:r>
      <w:proofErr w:type="spellStart"/>
      <w:r>
        <w:rPr>
          <w:sz w:val="20"/>
          <w:szCs w:val="20"/>
        </w:rPr>
        <w:t>unique_name</w:t>
      </w:r>
      <w:proofErr w:type="spellEnd"/>
      <w:r>
        <w:rPr>
          <w:sz w:val="20"/>
          <w:szCs w:val="20"/>
        </w:rPr>
        <w:t>&gt;.csv       (0 or more)</w:t>
      </w:r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              |- &lt;</w:t>
      </w:r>
      <w:proofErr w:type="spellStart"/>
      <w:r>
        <w:rPr>
          <w:sz w:val="20"/>
          <w:szCs w:val="20"/>
        </w:rPr>
        <w:t>unique_name</w:t>
      </w:r>
      <w:proofErr w:type="spellEnd"/>
      <w:r>
        <w:rPr>
          <w:sz w:val="20"/>
          <w:szCs w:val="20"/>
        </w:rPr>
        <w:t>&gt;.pdf       (0 or more)</w:t>
      </w:r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              |- &lt;</w:t>
      </w:r>
      <w:proofErr w:type="spellStart"/>
      <w:r>
        <w:rPr>
          <w:sz w:val="20"/>
          <w:szCs w:val="20"/>
        </w:rPr>
        <w:t>unique_name</w:t>
      </w:r>
      <w:proofErr w:type="spellEnd"/>
      <w:r>
        <w:rPr>
          <w:sz w:val="20"/>
          <w:szCs w:val="20"/>
        </w:rPr>
        <w:t>&gt;.xlsx      (0 or more)</w:t>
      </w:r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|-- ‘</w:t>
      </w:r>
      <w:proofErr w:type="spellStart"/>
      <w:r>
        <w:rPr>
          <w:sz w:val="20"/>
          <w:szCs w:val="20"/>
        </w:rPr>
        <w:t>tmp</w:t>
      </w:r>
      <w:proofErr w:type="spellEnd"/>
      <w:r>
        <w:rPr>
          <w:sz w:val="20"/>
          <w:szCs w:val="20"/>
        </w:rPr>
        <w:t>’ folder</w:t>
      </w:r>
    </w:p>
    <w:p w:rsidR="002639B9" w:rsidRDefault="002639B9" w:rsidP="002639B9">
      <w:pPr>
        <w:spacing w:before="60" w:after="60"/>
        <w:ind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|-- ‘mef’ folder</w:t>
      </w:r>
    </w:p>
    <w:p w:rsidR="002639B9" w:rsidRDefault="002639B9" w:rsidP="005232B2">
      <w:pPr>
        <w:spacing w:before="240" w:after="240"/>
        <w:ind w:left="-6"/>
        <w:rPr>
          <w:sz w:val="20"/>
          <w:szCs w:val="20"/>
        </w:rPr>
      </w:pP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953962" w:rsidTr="00953962">
        <w:trPr>
          <w:trHeight w:val="454"/>
          <w:tblHeader/>
        </w:trPr>
        <w:tc>
          <w:tcPr>
            <w:tcW w:w="1621" w:type="dxa"/>
            <w:hideMark/>
          </w:tcPr>
          <w:p w:rsidR="00953962" w:rsidRDefault="00953962">
            <w:pPr>
              <w:rPr>
                <w:b/>
              </w:rPr>
            </w:pPr>
            <w:r>
              <w:rPr>
                <w:b/>
              </w:rPr>
              <w:lastRenderedPageBreak/>
              <w:t>Step</w:t>
            </w:r>
          </w:p>
        </w:tc>
        <w:tc>
          <w:tcPr>
            <w:tcW w:w="4770" w:type="dxa"/>
            <w:hideMark/>
          </w:tcPr>
          <w:p w:rsidR="00953962" w:rsidRDefault="00953962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:rsidR="00953962" w:rsidRDefault="00953962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69709C" w:rsidRPr="00A9471E" w:rsidTr="00953962">
        <w:trPr>
          <w:cantSplit/>
        </w:trPr>
        <w:tc>
          <w:tcPr>
            <w:tcW w:w="1621" w:type="dxa"/>
          </w:tcPr>
          <w:p w:rsidR="0069709C" w:rsidRPr="00A9471E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69709C" w:rsidRPr="00055AD9" w:rsidRDefault="00055AD9" w:rsidP="00BC44EB">
            <w:pPr>
              <w:spacing w:before="60" w:after="6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Install </w:t>
            </w:r>
            <w:proofErr w:type="spellStart"/>
            <w:r>
              <w:rPr>
                <w:sz w:val="20"/>
                <w:szCs w:val="20"/>
                <w:lang w:val="en-US"/>
              </w:rPr>
              <w:t>Kernow</w:t>
            </w:r>
            <w:r w:rsidR="00BC44EB">
              <w:rPr>
                <w:sz w:val="20"/>
                <w:szCs w:val="20"/>
                <w:lang w:val="en-US"/>
              </w:rPr>
              <w:t>ForSaxon</w:t>
            </w:r>
            <w:proofErr w:type="spellEnd"/>
            <w:r w:rsidR="00BC44EB">
              <w:rPr>
                <w:sz w:val="20"/>
                <w:szCs w:val="20"/>
                <w:lang w:val="en-US"/>
              </w:rPr>
              <w:t>, or something equivalent to run XSLTs</w:t>
            </w:r>
            <w:r w:rsidR="00DF6D0C">
              <w:rPr>
                <w:sz w:val="20"/>
                <w:szCs w:val="20"/>
                <w:lang w:val="en-US"/>
              </w:rPr>
              <w:t xml:space="preserve">.  </w:t>
            </w:r>
            <w:r w:rsidR="00DF6D0C" w:rsidRPr="00DF6D0C">
              <w:rPr>
                <w:sz w:val="20"/>
                <w:szCs w:val="20"/>
                <w:lang w:val="en-US"/>
              </w:rPr>
              <w:t>http://kernowforsaxon.sourceforge.net/</w:t>
            </w:r>
          </w:p>
        </w:tc>
        <w:tc>
          <w:tcPr>
            <w:tcW w:w="2965" w:type="dxa"/>
          </w:tcPr>
          <w:p w:rsidR="0069709C" w:rsidRDefault="00BC44EB" w:rsidP="00BC44EB">
            <w:pPr>
              <w:pStyle w:val="ListParagraph"/>
              <w:numPr>
                <w:ilvl w:val="0"/>
                <w:numId w:val="26"/>
              </w:numPr>
              <w:spacing w:before="60" w:after="60"/>
              <w:ind w:left="432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Kernow is a</w:t>
            </w:r>
            <w:r w:rsidR="0051468A">
              <w:rPr>
                <w:sz w:val="20"/>
                <w:szCs w:val="16"/>
              </w:rPr>
              <w:t xml:space="preserve"> Graphical User Interface for XSLTs</w:t>
            </w:r>
          </w:p>
          <w:p w:rsidR="0051468A" w:rsidRPr="0051468A" w:rsidRDefault="0051468A" w:rsidP="00BC44EB">
            <w:pPr>
              <w:pStyle w:val="ListParagraph"/>
              <w:numPr>
                <w:ilvl w:val="0"/>
                <w:numId w:val="26"/>
              </w:numPr>
              <w:spacing w:before="60" w:after="60"/>
              <w:ind w:left="432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The trial version is free, and permits 100 executions.  After that, one needs to purchase a </w:t>
            </w:r>
            <w:r w:rsidR="00BC44EB">
              <w:rPr>
                <w:sz w:val="20"/>
                <w:szCs w:val="16"/>
              </w:rPr>
              <w:t xml:space="preserve">basic </w:t>
            </w:r>
            <w:r>
              <w:rPr>
                <w:sz w:val="20"/>
                <w:szCs w:val="16"/>
              </w:rPr>
              <w:t>licence.</w:t>
            </w:r>
          </w:p>
        </w:tc>
      </w:tr>
      <w:tr w:rsidR="0069709C" w:rsidRPr="00A9471E" w:rsidTr="00953962">
        <w:trPr>
          <w:cantSplit/>
        </w:trPr>
        <w:tc>
          <w:tcPr>
            <w:tcW w:w="1621" w:type="dxa"/>
          </w:tcPr>
          <w:p w:rsidR="0069709C" w:rsidRPr="00A9471E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BC44EB" w:rsidRPr="004E7CFB" w:rsidRDefault="00881D8F" w:rsidP="004E7CFB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 the input at the folder containing the metadata file(s)</w:t>
            </w:r>
            <w:bookmarkStart w:id="0" w:name="_GoBack"/>
            <w:bookmarkEnd w:id="0"/>
          </w:p>
        </w:tc>
        <w:tc>
          <w:tcPr>
            <w:tcW w:w="2965" w:type="dxa"/>
          </w:tcPr>
          <w:p w:rsidR="004E7CFB" w:rsidRDefault="004E7CFB" w:rsidP="004E7CFB">
            <w:pPr>
              <w:pStyle w:val="ListParagraph"/>
              <w:numPr>
                <w:ilvl w:val="0"/>
                <w:numId w:val="20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</w:t>
            </w:r>
            <w:r w:rsidRPr="00881D8F">
              <w:rPr>
                <w:sz w:val="20"/>
                <w:szCs w:val="20"/>
              </w:rPr>
              <w:t xml:space="preserve">pplication </w:t>
            </w:r>
            <w:r>
              <w:rPr>
                <w:sz w:val="20"/>
                <w:szCs w:val="20"/>
              </w:rPr>
              <w:t>can process</w:t>
            </w:r>
            <w:r w:rsidRPr="00881D8F">
              <w:rPr>
                <w:sz w:val="20"/>
                <w:szCs w:val="20"/>
              </w:rPr>
              <w:t xml:space="preserve"> one or many metadata records in batch mode</w:t>
            </w:r>
          </w:p>
          <w:p w:rsidR="004E7CFB" w:rsidRDefault="004E7CFB" w:rsidP="004E7CFB">
            <w:pPr>
              <w:pStyle w:val="ListParagraph"/>
              <w:numPr>
                <w:ilvl w:val="0"/>
                <w:numId w:val="20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Metadata names need to have a &lt;</w:t>
            </w:r>
            <w:proofErr w:type="spellStart"/>
            <w:r>
              <w:rPr>
                <w:sz w:val="20"/>
                <w:szCs w:val="20"/>
              </w:rPr>
              <w:t>unique_name</w:t>
            </w:r>
            <w:proofErr w:type="spellEnd"/>
            <w:r>
              <w:rPr>
                <w:sz w:val="20"/>
                <w:szCs w:val="20"/>
              </w:rPr>
              <w:t>&gt;.xml</w:t>
            </w:r>
          </w:p>
          <w:p w:rsidR="00881D8F" w:rsidRPr="00881D8F" w:rsidRDefault="004E7CFB" w:rsidP="004E7CFB">
            <w:pPr>
              <w:pStyle w:val="ListParagraph"/>
              <w:numPr>
                <w:ilvl w:val="0"/>
                <w:numId w:val="20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 w:rsidRPr="00BC44EB">
              <w:rPr>
                <w:sz w:val="20"/>
                <w:szCs w:val="20"/>
              </w:rPr>
              <w:t>Input folder is usually named “metadata”</w:t>
            </w:r>
          </w:p>
        </w:tc>
      </w:tr>
      <w:tr w:rsidR="00B1591C" w:rsidRPr="00A9471E" w:rsidTr="00953962">
        <w:trPr>
          <w:cantSplit/>
        </w:trPr>
        <w:tc>
          <w:tcPr>
            <w:tcW w:w="1621" w:type="dxa"/>
          </w:tcPr>
          <w:p w:rsidR="00B1591C" w:rsidRPr="00A9471E" w:rsidRDefault="00B1591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B1591C" w:rsidRPr="00B1591C" w:rsidRDefault="00B1591C" w:rsidP="00B1591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 at the XSLT to add the graphics links</w:t>
            </w:r>
          </w:p>
        </w:tc>
        <w:tc>
          <w:tcPr>
            <w:tcW w:w="2965" w:type="dxa"/>
          </w:tcPr>
          <w:p w:rsidR="00B1591C" w:rsidRPr="00A151A2" w:rsidRDefault="00B1591C" w:rsidP="00BC44EB">
            <w:pPr>
              <w:pStyle w:val="ListParagraph"/>
              <w:numPr>
                <w:ilvl w:val="0"/>
                <w:numId w:val="24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Graphics </w:t>
            </w:r>
            <w:proofErr w:type="spellStart"/>
            <w:r>
              <w:rPr>
                <w:sz w:val="20"/>
                <w:szCs w:val="20"/>
              </w:rPr>
              <w:t>Xslt</w:t>
            </w:r>
            <w:proofErr w:type="spellEnd"/>
            <w:r>
              <w:rPr>
                <w:sz w:val="20"/>
                <w:szCs w:val="20"/>
              </w:rPr>
              <w:t xml:space="preserve"> is in 305-F02</w:t>
            </w:r>
          </w:p>
        </w:tc>
      </w:tr>
      <w:tr w:rsidR="00B1591C" w:rsidRPr="00A9471E" w:rsidTr="00953962">
        <w:trPr>
          <w:cantSplit/>
        </w:trPr>
        <w:tc>
          <w:tcPr>
            <w:tcW w:w="1621" w:type="dxa"/>
          </w:tcPr>
          <w:p w:rsidR="00B1591C" w:rsidRPr="00A9471E" w:rsidRDefault="00B1591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B1591C" w:rsidRDefault="00B1591C" w:rsidP="00BC44EB">
            <w:pPr>
              <w:shd w:val="clear" w:color="auto" w:fill="FFFFFF" w:themeFill="background1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 the output at the result folder</w:t>
            </w:r>
          </w:p>
          <w:p w:rsidR="00B1591C" w:rsidRPr="00881D8F" w:rsidRDefault="00B1591C" w:rsidP="00BC44EB">
            <w:pPr>
              <w:pStyle w:val="ListParagraph"/>
              <w:numPr>
                <w:ilvl w:val="0"/>
                <w:numId w:val="22"/>
              </w:numPr>
              <w:shd w:val="clear" w:color="auto" w:fill="FFFFFF" w:themeFill="background1"/>
              <w:spacing w:before="60" w:after="60"/>
              <w:jc w:val="left"/>
              <w:rPr>
                <w:sz w:val="20"/>
                <w:szCs w:val="20"/>
              </w:rPr>
            </w:pPr>
            <w:proofErr w:type="gramStart"/>
            <w:r>
              <w:t>the</w:t>
            </w:r>
            <w:proofErr w:type="gramEnd"/>
            <w:r>
              <w:t xml:space="preserve"> graphics XSLT </w:t>
            </w:r>
            <w:r w:rsidRPr="00BC44EB">
              <w:rPr>
                <w:u w:val="single"/>
              </w:rPr>
              <w:t>expects</w:t>
            </w:r>
            <w:r>
              <w:t xml:space="preserve"> the ../thumbnails folder for the graphics files to contain &lt;</w:t>
            </w:r>
            <w:proofErr w:type="spellStart"/>
            <w:r>
              <w:t>unique_name</w:t>
            </w:r>
            <w:proofErr w:type="spellEnd"/>
            <w:r>
              <w:t>&gt;.</w:t>
            </w:r>
            <w:proofErr w:type="spellStart"/>
            <w:r>
              <w:t>png</w:t>
            </w:r>
            <w:proofErr w:type="spellEnd"/>
            <w:r>
              <w:t xml:space="preserve"> and &lt;</w:t>
            </w:r>
            <w:proofErr w:type="spellStart"/>
            <w:r>
              <w:t>unique_name</w:t>
            </w:r>
            <w:proofErr w:type="spellEnd"/>
            <w:r>
              <w:t>&gt;_s.png</w:t>
            </w:r>
          </w:p>
          <w:p w:rsidR="00B1591C" w:rsidRPr="00881D8F" w:rsidRDefault="00B1591C" w:rsidP="00BC44EB">
            <w:pPr>
              <w:pStyle w:val="ListParagraph"/>
              <w:numPr>
                <w:ilvl w:val="0"/>
                <w:numId w:val="22"/>
              </w:numPr>
              <w:shd w:val="clear" w:color="auto" w:fill="FFFFFF" w:themeFill="background1"/>
              <w:spacing w:before="60" w:after="60"/>
              <w:jc w:val="left"/>
              <w:rPr>
                <w:sz w:val="20"/>
                <w:szCs w:val="20"/>
              </w:rPr>
            </w:pPr>
            <w:r>
              <w:t>the XSLT adds the linking code</w:t>
            </w:r>
          </w:p>
        </w:tc>
        <w:tc>
          <w:tcPr>
            <w:tcW w:w="2965" w:type="dxa"/>
          </w:tcPr>
          <w:p w:rsidR="00B1591C" w:rsidRDefault="00B1591C" w:rsidP="00BC44EB">
            <w:pPr>
              <w:pStyle w:val="ListParagraph"/>
              <w:numPr>
                <w:ilvl w:val="0"/>
                <w:numId w:val="21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metadata will be augmented with links to the graphics files</w:t>
            </w:r>
          </w:p>
          <w:p w:rsidR="00B1591C" w:rsidRPr="00881D8F" w:rsidRDefault="00B1591C" w:rsidP="00BC44EB">
            <w:pPr>
              <w:pStyle w:val="ListParagraph"/>
              <w:numPr>
                <w:ilvl w:val="0"/>
                <w:numId w:val="21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Out</w:t>
            </w:r>
            <w:r w:rsidRPr="00881D8F">
              <w:rPr>
                <w:sz w:val="20"/>
                <w:szCs w:val="20"/>
              </w:rPr>
              <w:t xml:space="preserve">put folder </w:t>
            </w:r>
            <w:r>
              <w:rPr>
                <w:sz w:val="20"/>
                <w:szCs w:val="20"/>
              </w:rPr>
              <w:t xml:space="preserve">could be </w:t>
            </w:r>
            <w:r w:rsidRPr="00881D8F">
              <w:rPr>
                <w:sz w:val="20"/>
                <w:szCs w:val="20"/>
              </w:rPr>
              <w:t>named “</w:t>
            </w:r>
            <w:r>
              <w:rPr>
                <w:sz w:val="20"/>
                <w:szCs w:val="20"/>
              </w:rPr>
              <w:t>metaGraphics</w:t>
            </w:r>
            <w:r w:rsidRPr="00881D8F">
              <w:rPr>
                <w:sz w:val="20"/>
                <w:szCs w:val="20"/>
              </w:rPr>
              <w:t>”</w:t>
            </w:r>
          </w:p>
        </w:tc>
      </w:tr>
      <w:tr w:rsidR="00B1591C" w:rsidRPr="00A9471E" w:rsidTr="00953962">
        <w:trPr>
          <w:cantSplit/>
        </w:trPr>
        <w:tc>
          <w:tcPr>
            <w:tcW w:w="1621" w:type="dxa"/>
          </w:tcPr>
          <w:p w:rsidR="00B1591C" w:rsidRPr="00A9471E" w:rsidRDefault="00B1591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B1591C" w:rsidRDefault="00B1591C" w:rsidP="00BC44EB">
            <w:pPr>
              <w:spacing w:line="259" w:lineRule="auto"/>
              <w:jc w:val="left"/>
              <w:rPr>
                <w:sz w:val="20"/>
              </w:rPr>
            </w:pPr>
            <w:r w:rsidRPr="00A151A2">
              <w:rPr>
                <w:sz w:val="20"/>
              </w:rPr>
              <w:t>Check the resulting metadata is valid</w:t>
            </w:r>
          </w:p>
          <w:p w:rsidR="00B1591C" w:rsidRDefault="00B1591C" w:rsidP="00BC44EB">
            <w:pPr>
              <w:pStyle w:val="ListParagraph"/>
              <w:numPr>
                <w:ilvl w:val="0"/>
                <w:numId w:val="23"/>
              </w:numPr>
              <w:spacing w:line="259" w:lineRule="auto"/>
              <w:jc w:val="left"/>
              <w:rPr>
                <w:sz w:val="20"/>
              </w:rPr>
            </w:pPr>
            <w:r>
              <w:rPr>
                <w:sz w:val="20"/>
              </w:rPr>
              <w:t>Choose the validation tab in Kernow</w:t>
            </w:r>
          </w:p>
          <w:p w:rsidR="00B1591C" w:rsidRDefault="00B1591C" w:rsidP="00BC44EB">
            <w:pPr>
              <w:pStyle w:val="ListParagraph"/>
              <w:numPr>
                <w:ilvl w:val="0"/>
                <w:numId w:val="23"/>
              </w:numPr>
              <w:spacing w:line="259" w:lineRule="auto"/>
              <w:jc w:val="left"/>
              <w:rPr>
                <w:sz w:val="20"/>
              </w:rPr>
            </w:pPr>
            <w:r>
              <w:rPr>
                <w:sz w:val="20"/>
              </w:rPr>
              <w:t>Point the input folder at the translated folder (e.g. metaGraphics)</w:t>
            </w:r>
          </w:p>
          <w:p w:rsidR="00B1591C" w:rsidRPr="00A151A2" w:rsidRDefault="00B1591C" w:rsidP="00BC44EB">
            <w:pPr>
              <w:pStyle w:val="ListParagraph"/>
              <w:numPr>
                <w:ilvl w:val="0"/>
                <w:numId w:val="23"/>
              </w:numPr>
              <w:spacing w:line="259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Point at the NAP schema (often located at </w:t>
            </w:r>
            <w:r w:rsidRPr="00A151A2">
              <w:rPr>
                <w:sz w:val="20"/>
              </w:rPr>
              <w:t>C:\DFO-MPO\jMW2 NAP\schema</w:t>
            </w:r>
            <w:r>
              <w:rPr>
                <w:sz w:val="20"/>
              </w:rPr>
              <w:t>\schema.xsd)</w:t>
            </w:r>
          </w:p>
        </w:tc>
        <w:tc>
          <w:tcPr>
            <w:tcW w:w="2965" w:type="dxa"/>
          </w:tcPr>
          <w:p w:rsidR="00B1591C" w:rsidRPr="00A151A2" w:rsidRDefault="00B1591C" w:rsidP="00BC44EB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</w:tr>
      <w:tr w:rsidR="00B1591C" w:rsidRPr="00A9471E" w:rsidTr="00953962">
        <w:trPr>
          <w:cantSplit/>
        </w:trPr>
        <w:tc>
          <w:tcPr>
            <w:tcW w:w="1621" w:type="dxa"/>
          </w:tcPr>
          <w:p w:rsidR="00B1591C" w:rsidRPr="00A9471E" w:rsidRDefault="00B16430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B1591C" w:rsidRPr="00B16430" w:rsidRDefault="00B1591C" w:rsidP="00B16430">
            <w:pPr>
              <w:spacing w:line="259" w:lineRule="auto"/>
              <w:jc w:val="left"/>
              <w:rPr>
                <w:sz w:val="20"/>
              </w:rPr>
            </w:pPr>
            <w:r w:rsidRPr="00B16430">
              <w:rPr>
                <w:sz w:val="20"/>
              </w:rPr>
              <w:t>If the results are not valid, examine the records with a xml editor and fix</w:t>
            </w:r>
          </w:p>
        </w:tc>
        <w:tc>
          <w:tcPr>
            <w:tcW w:w="2965" w:type="dxa"/>
          </w:tcPr>
          <w:p w:rsidR="00B1591C" w:rsidRDefault="00B1591C" w:rsidP="00BC44EB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free xml editor that can be downloaded is notepad++</w:t>
            </w:r>
          </w:p>
        </w:tc>
      </w:tr>
    </w:tbl>
    <w:p w:rsidR="0069709C" w:rsidRPr="00A9471E" w:rsidRDefault="0069709C" w:rsidP="0052150D">
      <w:pPr>
        <w:spacing w:after="0"/>
        <w:rPr>
          <w:sz w:val="20"/>
          <w:szCs w:val="20"/>
        </w:rPr>
      </w:pPr>
    </w:p>
    <w:sectPr w:rsidR="0069709C" w:rsidRPr="00A9471E" w:rsidSect="00176C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02A" w:rsidRDefault="00BC502A">
      <w:r>
        <w:separator/>
      </w:r>
    </w:p>
  </w:endnote>
  <w:endnote w:type="continuationSeparator" w:id="0">
    <w:p w:rsidR="00BC502A" w:rsidRDefault="00BC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74" w:rsidRDefault="00003E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:rsidTr="00176C8A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117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F0BE9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 xml:space="preserve">Terry Curran, P.Eng. / </w:t>
          </w:r>
          <w:r w:rsidR="00116D56">
            <w:rPr>
              <w:color w:val="000000" w:themeColor="text1"/>
              <w:sz w:val="20"/>
              <w:szCs w:val="20"/>
            </w:rPr>
            <w:t>2015-02-2</w:t>
          </w:r>
          <w:r w:rsidR="00AD79FF">
            <w:rPr>
              <w:color w:val="000000" w:themeColor="text1"/>
              <w:sz w:val="20"/>
              <w:szCs w:val="20"/>
            </w:rPr>
            <w:t>6</w:t>
          </w:r>
        </w:p>
      </w:tc>
      <w:tc>
        <w:tcPr>
          <w:tcW w:w="3060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E7CF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E7CF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74" w:rsidRDefault="00003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02A" w:rsidRDefault="00BC502A">
      <w:r>
        <w:separator/>
      </w:r>
    </w:p>
  </w:footnote>
  <w:footnote w:type="continuationSeparator" w:id="0">
    <w:p w:rsidR="00BC502A" w:rsidRDefault="00BC5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74" w:rsidRDefault="00003E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:rsidTr="00176C8A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:rsidR="008E70FF" w:rsidRPr="00E46002" w:rsidRDefault="008E70FF" w:rsidP="00F103A9">
          <w:pPr>
            <w:pStyle w:val="Header"/>
            <w:jc w:val="center"/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E46002" w:rsidRPr="00E46002" w:rsidRDefault="00C96AD4" w:rsidP="00E46002">
          <w:pPr>
            <w:jc w:val="center"/>
          </w:pPr>
          <w:r>
            <w:t>Adding thumbnail</w:t>
          </w:r>
          <w:r w:rsidR="008425CE">
            <w:t xml:space="preserve"> link</w:t>
          </w:r>
          <w:r>
            <w:t>s to metadata</w:t>
          </w:r>
        </w:p>
        <w:p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125A5F" w:rsidP="00003E74">
          <w:pPr>
            <w:pStyle w:val="Header"/>
            <w:jc w:val="center"/>
          </w:pPr>
          <w:r>
            <w:t>30</w:t>
          </w:r>
          <w:r w:rsidR="00003E74">
            <w:t>7</w:t>
          </w:r>
          <w:r>
            <w:t>-</w:t>
          </w:r>
          <w:r w:rsidR="00C3036E">
            <w:t>0</w:t>
          </w:r>
          <w:r w:rsidR="00003E74">
            <w:t>1</w:t>
          </w:r>
        </w:p>
      </w:tc>
    </w:tr>
  </w:tbl>
  <w:p w:rsidR="001D4C92" w:rsidRDefault="001D4C92" w:rsidP="00176C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74" w:rsidRDefault="00003E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5A23"/>
    <w:multiLevelType w:val="hybridMultilevel"/>
    <w:tmpl w:val="7D2ED2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D59EB"/>
    <w:multiLevelType w:val="hybridMultilevel"/>
    <w:tmpl w:val="BF92F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35CA1"/>
    <w:multiLevelType w:val="hybridMultilevel"/>
    <w:tmpl w:val="BE7C30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1F1B8B"/>
    <w:multiLevelType w:val="hybridMultilevel"/>
    <w:tmpl w:val="CA12CC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6477A"/>
    <w:multiLevelType w:val="hybridMultilevel"/>
    <w:tmpl w:val="A5A8C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771560"/>
    <w:multiLevelType w:val="hybridMultilevel"/>
    <w:tmpl w:val="759EC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96F7320"/>
    <w:multiLevelType w:val="hybridMultilevel"/>
    <w:tmpl w:val="467EE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2"/>
  </w:num>
  <w:num w:numId="5">
    <w:abstractNumId w:val="10"/>
  </w:num>
  <w:num w:numId="6">
    <w:abstractNumId w:val="25"/>
  </w:num>
  <w:num w:numId="7">
    <w:abstractNumId w:val="18"/>
  </w:num>
  <w:num w:numId="8">
    <w:abstractNumId w:val="9"/>
  </w:num>
  <w:num w:numId="9">
    <w:abstractNumId w:val="23"/>
  </w:num>
  <w:num w:numId="10">
    <w:abstractNumId w:val="17"/>
  </w:num>
  <w:num w:numId="11">
    <w:abstractNumId w:val="11"/>
  </w:num>
  <w:num w:numId="12">
    <w:abstractNumId w:val="21"/>
  </w:num>
  <w:num w:numId="13">
    <w:abstractNumId w:val="20"/>
  </w:num>
  <w:num w:numId="14">
    <w:abstractNumId w:val="7"/>
  </w:num>
  <w:num w:numId="15">
    <w:abstractNumId w:val="6"/>
  </w:num>
  <w:num w:numId="16">
    <w:abstractNumId w:val="22"/>
  </w:num>
  <w:num w:numId="17">
    <w:abstractNumId w:val="15"/>
  </w:num>
  <w:num w:numId="18">
    <w:abstractNumId w:val="5"/>
  </w:num>
  <w:num w:numId="19">
    <w:abstractNumId w:val="3"/>
  </w:num>
  <w:num w:numId="20">
    <w:abstractNumId w:val="14"/>
  </w:num>
  <w:num w:numId="21">
    <w:abstractNumId w:val="0"/>
  </w:num>
  <w:num w:numId="22">
    <w:abstractNumId w:val="8"/>
  </w:num>
  <w:num w:numId="23">
    <w:abstractNumId w:val="24"/>
  </w:num>
  <w:num w:numId="24">
    <w:abstractNumId w:val="19"/>
  </w:num>
  <w:num w:numId="25">
    <w:abstractNumId w:val="4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03E74"/>
    <w:rsid w:val="00015B92"/>
    <w:rsid w:val="00030430"/>
    <w:rsid w:val="000435DB"/>
    <w:rsid w:val="00055AD9"/>
    <w:rsid w:val="0006169B"/>
    <w:rsid w:val="0008650A"/>
    <w:rsid w:val="000904E2"/>
    <w:rsid w:val="000B0B0D"/>
    <w:rsid w:val="000B70D1"/>
    <w:rsid w:val="000D79F0"/>
    <w:rsid w:val="000F2795"/>
    <w:rsid w:val="000F514C"/>
    <w:rsid w:val="00116D56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4E7F"/>
    <w:rsid w:val="001A5D2A"/>
    <w:rsid w:val="001D4C92"/>
    <w:rsid w:val="001F1701"/>
    <w:rsid w:val="0021030A"/>
    <w:rsid w:val="002322A1"/>
    <w:rsid w:val="00245DC3"/>
    <w:rsid w:val="002468F0"/>
    <w:rsid w:val="0024787C"/>
    <w:rsid w:val="00262081"/>
    <w:rsid w:val="002639B9"/>
    <w:rsid w:val="00266EF7"/>
    <w:rsid w:val="002743A1"/>
    <w:rsid w:val="00284056"/>
    <w:rsid w:val="00292E08"/>
    <w:rsid w:val="002D4CCB"/>
    <w:rsid w:val="002D6D3E"/>
    <w:rsid w:val="002D7ACB"/>
    <w:rsid w:val="002F0BE9"/>
    <w:rsid w:val="0034276B"/>
    <w:rsid w:val="003544BB"/>
    <w:rsid w:val="00357888"/>
    <w:rsid w:val="00392D9E"/>
    <w:rsid w:val="003948A6"/>
    <w:rsid w:val="003A7E05"/>
    <w:rsid w:val="003B272C"/>
    <w:rsid w:val="003C041D"/>
    <w:rsid w:val="003C758D"/>
    <w:rsid w:val="003F6511"/>
    <w:rsid w:val="00404B3A"/>
    <w:rsid w:val="00417FAD"/>
    <w:rsid w:val="004275A9"/>
    <w:rsid w:val="00445DAA"/>
    <w:rsid w:val="00455FE8"/>
    <w:rsid w:val="0048227F"/>
    <w:rsid w:val="004A610A"/>
    <w:rsid w:val="004A7F66"/>
    <w:rsid w:val="004C1B70"/>
    <w:rsid w:val="004E7CFB"/>
    <w:rsid w:val="00510C05"/>
    <w:rsid w:val="0051175A"/>
    <w:rsid w:val="0051468A"/>
    <w:rsid w:val="00514CC2"/>
    <w:rsid w:val="0052150D"/>
    <w:rsid w:val="005232B2"/>
    <w:rsid w:val="00580131"/>
    <w:rsid w:val="00587876"/>
    <w:rsid w:val="005B480C"/>
    <w:rsid w:val="005B7D7A"/>
    <w:rsid w:val="005D1884"/>
    <w:rsid w:val="005D4E6A"/>
    <w:rsid w:val="006150CD"/>
    <w:rsid w:val="00630764"/>
    <w:rsid w:val="00637401"/>
    <w:rsid w:val="00657810"/>
    <w:rsid w:val="00663297"/>
    <w:rsid w:val="00685F91"/>
    <w:rsid w:val="0069709C"/>
    <w:rsid w:val="006D65DB"/>
    <w:rsid w:val="00711163"/>
    <w:rsid w:val="00724017"/>
    <w:rsid w:val="00735836"/>
    <w:rsid w:val="0074285B"/>
    <w:rsid w:val="00757C9D"/>
    <w:rsid w:val="00765E45"/>
    <w:rsid w:val="00766C8C"/>
    <w:rsid w:val="007777B9"/>
    <w:rsid w:val="0078280F"/>
    <w:rsid w:val="007B3D27"/>
    <w:rsid w:val="007B4AFD"/>
    <w:rsid w:val="007E4218"/>
    <w:rsid w:val="00801D91"/>
    <w:rsid w:val="008273EB"/>
    <w:rsid w:val="00837ECB"/>
    <w:rsid w:val="008425CE"/>
    <w:rsid w:val="008534BE"/>
    <w:rsid w:val="008608BE"/>
    <w:rsid w:val="00864306"/>
    <w:rsid w:val="00874DF7"/>
    <w:rsid w:val="00881D8F"/>
    <w:rsid w:val="00892F9A"/>
    <w:rsid w:val="008A366E"/>
    <w:rsid w:val="008A4D65"/>
    <w:rsid w:val="008B1BAB"/>
    <w:rsid w:val="008D4CE7"/>
    <w:rsid w:val="008E70FF"/>
    <w:rsid w:val="00912C19"/>
    <w:rsid w:val="0091634D"/>
    <w:rsid w:val="0093072D"/>
    <w:rsid w:val="009450F6"/>
    <w:rsid w:val="00951128"/>
    <w:rsid w:val="00953962"/>
    <w:rsid w:val="009768B2"/>
    <w:rsid w:val="00984858"/>
    <w:rsid w:val="009A3E40"/>
    <w:rsid w:val="009B6B74"/>
    <w:rsid w:val="009C1821"/>
    <w:rsid w:val="009D4634"/>
    <w:rsid w:val="009D7E5E"/>
    <w:rsid w:val="00A06EDE"/>
    <w:rsid w:val="00A14294"/>
    <w:rsid w:val="00A151A2"/>
    <w:rsid w:val="00A23614"/>
    <w:rsid w:val="00A24A9E"/>
    <w:rsid w:val="00A35DFB"/>
    <w:rsid w:val="00A41F2F"/>
    <w:rsid w:val="00A55390"/>
    <w:rsid w:val="00A713B9"/>
    <w:rsid w:val="00A9471E"/>
    <w:rsid w:val="00AA7C40"/>
    <w:rsid w:val="00AB3F5D"/>
    <w:rsid w:val="00AD1F50"/>
    <w:rsid w:val="00AD3A54"/>
    <w:rsid w:val="00AD5CA5"/>
    <w:rsid w:val="00AD79FF"/>
    <w:rsid w:val="00AE348E"/>
    <w:rsid w:val="00AE3E31"/>
    <w:rsid w:val="00AF081A"/>
    <w:rsid w:val="00B1591C"/>
    <w:rsid w:val="00B16430"/>
    <w:rsid w:val="00B2457D"/>
    <w:rsid w:val="00B3213A"/>
    <w:rsid w:val="00B3516A"/>
    <w:rsid w:val="00B41510"/>
    <w:rsid w:val="00B63CF1"/>
    <w:rsid w:val="00B735FC"/>
    <w:rsid w:val="00B7468D"/>
    <w:rsid w:val="00B96298"/>
    <w:rsid w:val="00BA14EC"/>
    <w:rsid w:val="00BB0468"/>
    <w:rsid w:val="00BB6CE0"/>
    <w:rsid w:val="00BC44EB"/>
    <w:rsid w:val="00BC502A"/>
    <w:rsid w:val="00BC6C5E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3036E"/>
    <w:rsid w:val="00C5051C"/>
    <w:rsid w:val="00C6122A"/>
    <w:rsid w:val="00C636AB"/>
    <w:rsid w:val="00C65B26"/>
    <w:rsid w:val="00C66FA4"/>
    <w:rsid w:val="00C85F87"/>
    <w:rsid w:val="00C96AD4"/>
    <w:rsid w:val="00CB5205"/>
    <w:rsid w:val="00CB5804"/>
    <w:rsid w:val="00CC108C"/>
    <w:rsid w:val="00CD1B46"/>
    <w:rsid w:val="00CE041F"/>
    <w:rsid w:val="00CE0FD5"/>
    <w:rsid w:val="00CF0646"/>
    <w:rsid w:val="00D55320"/>
    <w:rsid w:val="00D6374B"/>
    <w:rsid w:val="00D724D2"/>
    <w:rsid w:val="00D76FAE"/>
    <w:rsid w:val="00D80BD6"/>
    <w:rsid w:val="00DC66BB"/>
    <w:rsid w:val="00DD1745"/>
    <w:rsid w:val="00DD5993"/>
    <w:rsid w:val="00DE39C7"/>
    <w:rsid w:val="00DF2042"/>
    <w:rsid w:val="00DF6D0C"/>
    <w:rsid w:val="00E059D3"/>
    <w:rsid w:val="00E30EB8"/>
    <w:rsid w:val="00E350F9"/>
    <w:rsid w:val="00E402DB"/>
    <w:rsid w:val="00E46002"/>
    <w:rsid w:val="00E5286D"/>
    <w:rsid w:val="00E54170"/>
    <w:rsid w:val="00E675CA"/>
    <w:rsid w:val="00E74D0F"/>
    <w:rsid w:val="00EB13AA"/>
    <w:rsid w:val="00EB6BD9"/>
    <w:rsid w:val="00EC43D4"/>
    <w:rsid w:val="00ED26D2"/>
    <w:rsid w:val="00EE36A2"/>
    <w:rsid w:val="00EF3D86"/>
    <w:rsid w:val="00F103A9"/>
    <w:rsid w:val="00F36FA1"/>
    <w:rsid w:val="00F63BFE"/>
    <w:rsid w:val="00F91F41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0086-0E09-4D15-B9B6-12AD7025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15</cp:revision>
  <cp:lastPrinted>2014-11-29T20:14:00Z</cp:lastPrinted>
  <dcterms:created xsi:type="dcterms:W3CDTF">2015-02-24T23:55:00Z</dcterms:created>
  <dcterms:modified xsi:type="dcterms:W3CDTF">2015-03-23T22:02:00Z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